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107950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520" w:hanging="330"/>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520" w:hanging="337"/>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119380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001-36182</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Xencor,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428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60" w:type="dxa"/>
            <w:vAlign w:val="bottom"/>
          </w:tcPr>
          <w:p>
            <w:pPr>
              <w:spacing w:after="0"/>
              <w:rPr>
                <w:sz w:val="13"/>
                <w:szCs w:val="13"/>
                <w:color w:val="auto"/>
              </w:rPr>
            </w:pPr>
          </w:p>
        </w:tc>
        <w:tc>
          <w:tcPr>
            <w:tcW w:w="3580" w:type="dxa"/>
            <w:vAlign w:val="bottom"/>
            <w:gridSpan w:val="2"/>
          </w:tcPr>
          <w:p>
            <w:pPr>
              <w:jc w:val="right"/>
              <w:ind w:right="2091"/>
              <w:spacing w:after="0"/>
              <w:rPr>
                <w:sz w:val="20"/>
                <w:szCs w:val="20"/>
                <w:color w:val="auto"/>
              </w:rPr>
            </w:pPr>
            <w:r>
              <w:rPr>
                <w:rFonts w:ascii="Times New Roman" w:cs="Times New Roman" w:eastAsia="Times New Roman" w:hAnsi="Times New Roman"/>
                <w:sz w:val="14"/>
                <w:szCs w:val="14"/>
                <w:b w:val="1"/>
                <w:bCs w:val="1"/>
                <w:color w:val="auto"/>
              </w:rPr>
              <w:t>20-1622502</w:t>
            </w:r>
          </w:p>
        </w:tc>
      </w:tr>
      <w:tr>
        <w:trPr>
          <w:trHeight w:val="148"/>
        </w:trPr>
        <w:tc>
          <w:tcPr>
            <w:tcW w:w="4280" w:type="dxa"/>
            <w:vAlign w:val="bottom"/>
            <w:gridSpan w:val="3"/>
          </w:tcPr>
          <w:p>
            <w:pPr>
              <w:jc w:val="center"/>
              <w:ind w:left="649"/>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360" w:type="dxa"/>
            <w:vAlign w:val="bottom"/>
          </w:tcPr>
          <w:p>
            <w:pPr>
              <w:spacing w:after="0"/>
              <w:rPr>
                <w:sz w:val="12"/>
                <w:szCs w:val="12"/>
                <w:color w:val="auto"/>
              </w:rPr>
            </w:pPr>
          </w:p>
        </w:tc>
        <w:tc>
          <w:tcPr>
            <w:tcW w:w="3580" w:type="dxa"/>
            <w:vAlign w:val="bottom"/>
            <w:gridSpan w:val="2"/>
          </w:tcPr>
          <w:p>
            <w:pPr>
              <w:jc w:val="center"/>
              <w:ind w:right="1351"/>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428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or organization)</w:t>
            </w: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0"/>
        </w:trPr>
        <w:tc>
          <w:tcPr>
            <w:tcW w:w="428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111 West Lemon Avenue, Monrovia, CA</w:t>
            </w:r>
          </w:p>
        </w:tc>
        <w:tc>
          <w:tcPr>
            <w:tcW w:w="2360" w:type="dxa"/>
            <w:vAlign w:val="bottom"/>
          </w:tcPr>
          <w:p>
            <w:pPr>
              <w:spacing w:after="0"/>
              <w:rPr>
                <w:sz w:val="20"/>
                <w:szCs w:val="20"/>
                <w:color w:val="auto"/>
              </w:rPr>
            </w:pPr>
          </w:p>
        </w:tc>
        <w:tc>
          <w:tcPr>
            <w:tcW w:w="3580" w:type="dxa"/>
            <w:vAlign w:val="bottom"/>
            <w:gridSpan w:val="2"/>
          </w:tcPr>
          <w:p>
            <w:pPr>
              <w:jc w:val="right"/>
              <w:ind w:right="2251"/>
              <w:spacing w:after="0"/>
              <w:rPr>
                <w:sz w:val="20"/>
                <w:szCs w:val="20"/>
                <w:color w:val="auto"/>
              </w:rPr>
            </w:pPr>
            <w:r>
              <w:rPr>
                <w:rFonts w:ascii="Times New Roman" w:cs="Times New Roman" w:eastAsia="Times New Roman" w:hAnsi="Times New Roman"/>
                <w:sz w:val="14"/>
                <w:szCs w:val="14"/>
                <w:b w:val="1"/>
                <w:bCs w:val="1"/>
                <w:color w:val="auto"/>
              </w:rPr>
              <w:t>91016</w:t>
            </w:r>
          </w:p>
        </w:tc>
      </w:tr>
      <w:tr>
        <w:trPr>
          <w:trHeight w:val="188"/>
        </w:trPr>
        <w:tc>
          <w:tcPr>
            <w:tcW w:w="428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jc w:val="center"/>
              <w:ind w:right="1551"/>
              <w:spacing w:after="0"/>
              <w:rPr>
                <w:sz w:val="20"/>
                <w:szCs w:val="20"/>
                <w:color w:val="auto"/>
              </w:rPr>
            </w:pPr>
            <w:r>
              <w:rPr>
                <w:rFonts w:ascii="Times New Roman" w:cs="Times New Roman" w:eastAsia="Times New Roman" w:hAnsi="Times New Roman"/>
                <w:sz w:val="14"/>
                <w:szCs w:val="14"/>
                <w:color w:val="auto"/>
              </w:rPr>
              <w:t>(Zip Code)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tcPr>
          <w:p>
            <w:pPr>
              <w:jc w:val="center"/>
              <w:ind w:right="631"/>
              <w:spacing w:after="0"/>
              <w:rPr>
                <w:sz w:val="20"/>
                <w:szCs w:val="20"/>
                <w:color w:val="auto"/>
              </w:rPr>
            </w:pPr>
            <w:r>
              <w:rPr>
                <w:rFonts w:ascii="Times New Roman" w:cs="Times New Roman" w:eastAsia="Times New Roman" w:hAnsi="Times New Roman"/>
                <w:sz w:val="14"/>
                <w:szCs w:val="14"/>
                <w:b w:val="1"/>
                <w:bCs w:val="1"/>
                <w:color w:val="auto"/>
              </w:rPr>
              <w:t>(626) 305-5900</w:t>
            </w: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188"/>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97"/>
        </w:trPr>
        <w:tc>
          <w:tcPr>
            <w:tcW w:w="42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8"/>
        </w:trPr>
        <w:tc>
          <w:tcPr>
            <w:tcW w:w="4280" w:type="dxa"/>
            <w:vAlign w:val="bottom"/>
            <w:gridSpan w:val="3"/>
          </w:tcPr>
          <w:p>
            <w:pPr>
              <w:jc w:val="center"/>
              <w:ind w:right="828"/>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2360" w:type="dxa"/>
            <w:vAlign w:val="bottom"/>
          </w:tcPr>
          <w:p>
            <w:pPr>
              <w:jc w:val="center"/>
              <w:ind w:right="651"/>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2"/>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right="651"/>
              <w:spacing w:after="0"/>
              <w:rPr>
                <w:sz w:val="20"/>
                <w:szCs w:val="20"/>
                <w:color w:val="auto"/>
              </w:rPr>
            </w:pPr>
            <w:r>
              <w:rPr>
                <w:rFonts w:ascii="Times New Roman" w:cs="Times New Roman" w:eastAsia="Times New Roman" w:hAnsi="Times New Roman"/>
                <w:sz w:val="14"/>
                <w:szCs w:val="14"/>
                <w:color w:val="auto"/>
              </w:rPr>
              <w:t>XNCR</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81" w:lineRule="exact"/>
        <w:rPr>
          <w:sz w:val="24"/>
          <w:szCs w:val="24"/>
          <w:color w:val="auto"/>
        </w:rPr>
      </w:pPr>
    </w:p>
    <w:p>
      <w:pPr>
        <w:ind w:left="20" w:right="18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left="20" w:right="60" w:firstLine="64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left="20" w:right="16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5" w:lineRule="exact"/>
        <w:rPr>
          <w:sz w:val="24"/>
          <w:szCs w:val="24"/>
          <w:color w:val="auto"/>
        </w:rPr>
      </w:pPr>
    </w:p>
    <w:p>
      <w:pPr>
        <w:ind w:left="66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Accelerated filer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Non-accelerated filer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Smaller reporting company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Emerging growth company </w:t>
      </w:r>
      <w:r>
        <w:rPr>
          <w:rFonts w:ascii="Arial Unicode MS" w:cs="Arial Unicode MS" w:eastAsia="Arial Unicode MS" w:hAnsi="Arial Unicode MS"/>
          <w:sz w:val="14"/>
          <w:szCs w:val="14"/>
          <w:color w:val="auto"/>
        </w:rPr>
        <w:t>☐</w:t>
      </w:r>
    </w:p>
    <w:p>
      <w:pPr>
        <w:spacing w:after="0" w:line="92" w:lineRule="exact"/>
        <w:rPr>
          <w:sz w:val="24"/>
          <w:szCs w:val="24"/>
          <w:color w:val="auto"/>
        </w:rPr>
      </w:pPr>
    </w:p>
    <w:p>
      <w:pPr>
        <w:ind w:left="20" w:right="120" w:firstLine="64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left="6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of 1934).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9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5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Outstanding at July 29, 2022</w:t>
            </w:r>
          </w:p>
        </w:tc>
      </w:tr>
      <w:tr>
        <w:trPr>
          <w:trHeight w:val="182"/>
        </w:trPr>
        <w:tc>
          <w:tcPr>
            <w:tcW w:w="20" w:type="dxa"/>
            <w:vAlign w:val="bottom"/>
          </w:tcPr>
          <w:p>
            <w:pPr>
              <w:spacing w:after="0"/>
              <w:rPr>
                <w:sz w:val="15"/>
                <w:szCs w:val="15"/>
                <w:color w:val="auto"/>
              </w:rPr>
            </w:pPr>
          </w:p>
        </w:tc>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20" w:type="dxa"/>
            <w:vAlign w:val="bottom"/>
          </w:tcPr>
          <w:p>
            <w:pPr>
              <w:spacing w:after="0"/>
              <w:rPr>
                <w:sz w:val="15"/>
                <w:szCs w:val="15"/>
                <w:color w:val="auto"/>
              </w:rPr>
            </w:pPr>
          </w:p>
        </w:tc>
        <w:tc>
          <w:tcPr>
            <w:tcW w:w="5000" w:type="dxa"/>
            <w:vAlign w:val="bottom"/>
            <w:tcBorders>
              <w:top w:val="single" w:sz="8" w:color="auto"/>
            </w:tcBorders>
          </w:tcPr>
          <w:p>
            <w:pPr>
              <w:jc w:val="right"/>
              <w:ind w:right="2117"/>
              <w:spacing w:after="0"/>
              <w:rPr>
                <w:sz w:val="20"/>
                <w:szCs w:val="20"/>
                <w:color w:val="auto"/>
              </w:rPr>
            </w:pPr>
            <w:r>
              <w:rPr>
                <w:rFonts w:ascii="Times New Roman" w:cs="Times New Roman" w:eastAsia="Times New Roman" w:hAnsi="Times New Roman"/>
                <w:sz w:val="14"/>
                <w:szCs w:val="14"/>
                <w:color w:val="auto"/>
              </w:rPr>
              <w:t>59,698,148</w:t>
            </w:r>
          </w:p>
        </w:tc>
      </w:tr>
      <w:tr>
        <w:trPr>
          <w:trHeight w:val="149"/>
        </w:trPr>
        <w:tc>
          <w:tcPr>
            <w:tcW w:w="2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Xencor,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June 30,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340" w:type="dxa"/>
            <w:vAlign w:val="bottom"/>
            <w:gridSpan w:val="3"/>
            <w:vMerge w:val="restart"/>
          </w:tcPr>
          <w:p>
            <w:pPr>
              <w:spacing w:after="0"/>
              <w:rPr>
                <w:sz w:val="24"/>
                <w:szCs w:val="24"/>
                <w:color w:val="auto"/>
              </w:rPr>
            </w:pPr>
          </w:p>
        </w:tc>
        <w:tc>
          <w:tcPr>
            <w:tcW w:w="71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24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3260" w:type="dxa"/>
            <w:vAlign w:val="bottom"/>
            <w:tcBorders>
              <w:top w:val="single" w:sz="8" w:color="0000EE"/>
            </w:tcBorders>
            <w:gridSpan w:val="4"/>
          </w:tcPr>
          <w:p>
            <w:pPr>
              <w:spacing w:after="0"/>
              <w:rPr>
                <w:sz w:val="17"/>
                <w:szCs w:val="17"/>
                <w:color w:val="auto"/>
              </w:rPr>
            </w:pPr>
          </w:p>
        </w:tc>
        <w:tc>
          <w:tcPr>
            <w:tcW w:w="152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460" w:type="dxa"/>
            <w:vAlign w:val="bottom"/>
            <w:gridSpan w:val="5"/>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566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June 30, 2022 (unaudited) and December 31, 2021</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Statements of Comprehensive Income (Loss) for the Three and Six Months Ended June 30, 2022</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2021 (unaudited)</w:t>
            </w: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Stockholders’ Equity for the Three and Six Months Ended June 30, 2022 and</w:t>
            </w:r>
          </w:p>
        </w:tc>
        <w:tc>
          <w:tcPr>
            <w:tcW w:w="5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2021 (unaudited)</w:t>
            </w:r>
          </w:p>
        </w:tc>
        <w:tc>
          <w:tcPr>
            <w:tcW w:w="5920" w:type="dxa"/>
            <w:vAlign w:val="bottom"/>
            <w:gridSpan w:val="15"/>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Six Months Ended June 30, 2022 and 2021 (unaudited)</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Financial Statements (unaudited)</w:t>
            </w:r>
          </w:p>
        </w:tc>
        <w:tc>
          <w:tcPr>
            <w:tcW w:w="3380" w:type="dxa"/>
            <w:vAlign w:val="bottom"/>
            <w:tcBorders>
              <w:top w:val="single" w:sz="8" w:color="0000EE"/>
            </w:tcBorders>
            <w:gridSpan w:val="4"/>
          </w:tcPr>
          <w:p>
            <w:pPr>
              <w:spacing w:after="0"/>
              <w:rPr>
                <w:sz w:val="17"/>
                <w:szCs w:val="17"/>
                <w:color w:val="auto"/>
              </w:rPr>
            </w:pPr>
          </w:p>
        </w:tc>
        <w:tc>
          <w:tcPr>
            <w:tcW w:w="76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40" w:type="dxa"/>
            <w:vAlign w:val="bottom"/>
            <w:gridSpan w:val="4"/>
          </w:tcPr>
          <w:p>
            <w:pPr>
              <w:spacing w:after="0"/>
              <w:rPr>
                <w:sz w:val="17"/>
                <w:szCs w:val="17"/>
                <w:color w:val="auto"/>
              </w:rPr>
            </w:pPr>
          </w:p>
        </w:tc>
        <w:tc>
          <w:tcPr>
            <w:tcW w:w="7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40" w:type="dxa"/>
            <w:vAlign w:val="bottom"/>
            <w:gridSpan w:val="4"/>
          </w:tcPr>
          <w:p>
            <w:pPr>
              <w:spacing w:after="0"/>
              <w:rPr>
                <w:sz w:val="17"/>
                <w:szCs w:val="17"/>
                <w:color w:val="auto"/>
              </w:rPr>
            </w:pPr>
          </w:p>
        </w:tc>
        <w:tc>
          <w:tcPr>
            <w:tcW w:w="6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2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0" w:type="dxa"/>
            <w:vAlign w:val="bottom"/>
            <w:tcBorders>
              <w:top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2580" w:type="dxa"/>
            <w:vAlign w:val="bottom"/>
            <w:tcBorders>
              <w:top w:val="single" w:sz="8" w:color="0000EE"/>
            </w:tcBorders>
            <w:gridSpan w:val="4"/>
          </w:tcPr>
          <w:p>
            <w:pPr>
              <w:spacing w:after="0"/>
              <w:rPr>
                <w:sz w:val="17"/>
                <w:szCs w:val="17"/>
                <w:color w:val="auto"/>
              </w:rPr>
            </w:pPr>
          </w:p>
        </w:tc>
        <w:tc>
          <w:tcPr>
            <w:tcW w:w="282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1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16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20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14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100" w:type="dxa"/>
            <w:vAlign w:val="bottom"/>
            <w:tcBorders>
              <w:top w:val="single" w:sz="8" w:color="0000EE"/>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9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26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In this report, unless otherwise stated or the context otherwise indicates, references to “Xencor,” “the Company,” “we,” “us,” “our” and similar references refer to Xencor, Inc. The Xencor logo is a registered trademark of Xencor, Inc. This report also contains registered marks, trademarks, and trade names of other companies. All other trademarks, registered marks and trade names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should not place undue reliance on these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Our actual results could differ materially from those anticipated in these forward-looking statements as a result of various factors, including those set forth below under Part II, Item 1A, “Risk Factors” in this Quarterly Report. These statements, which represent our current expectations or beliefs concerning various future events, may contain words such as “may,” “will,” “expect,” “anticipate,” “intend,” “plan,” “believe,” “estimate,” the negative of such terms or other words indicating future results.</w:t>
      </w:r>
    </w:p>
    <w:p>
      <w:pPr>
        <w:spacing w:after="0" w:line="76"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should, therefore, be considered in light of various important factors, including but not limited to, the following:</w:t>
      </w:r>
    </w:p>
    <w:p>
      <w:pPr>
        <w:spacing w:after="0" w:line="40" w:lineRule="exact"/>
        <w:rPr>
          <w:sz w:val="20"/>
          <w:szCs w:val="20"/>
          <w:color w:val="auto"/>
        </w:rPr>
      </w:pPr>
    </w:p>
    <w:p>
      <w:pPr>
        <w:ind w:left="1040" w:right="29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 in the United States and abroad on our financial condition, results of operations, cash flows and performance;</w:t>
      </w:r>
    </w:p>
    <w:p>
      <w:pPr>
        <w:spacing w:after="0" w:line="80"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plans to research, develop and commercialize our product candidates;</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ongoing and planned clinical trials;</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44" w:lineRule="exact"/>
        <w:rPr>
          <w:rFonts w:ascii="Times New Roman" w:cs="Times New Roman" w:eastAsia="Times New Roman" w:hAnsi="Times New Roman"/>
          <w:sz w:val="18"/>
          <w:szCs w:val="18"/>
          <w:color w:val="auto"/>
        </w:rPr>
      </w:pPr>
    </w:p>
    <w:p>
      <w:pPr>
        <w:ind w:left="1040" w:right="45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expenses, future revenue, capital requirements and needs for additional financing;</w:t>
      </w:r>
    </w:p>
    <w:p>
      <w:pPr>
        <w:spacing w:after="0" w:line="80" w:lineRule="exact"/>
        <w:rPr>
          <w:rFonts w:ascii="Times New Roman" w:cs="Times New Roman" w:eastAsia="Times New Roman" w:hAnsi="Times New Roman"/>
          <w:sz w:val="18"/>
          <w:szCs w:val="18"/>
          <w:color w:val="auto"/>
        </w:rPr>
      </w:pPr>
    </w:p>
    <w:p>
      <w:pPr>
        <w:ind w:left="1040" w:right="9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business objectives;</w:t>
      </w:r>
    </w:p>
    <w:p>
      <w:pPr>
        <w:spacing w:after="0" w:line="80"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development, regulatory, and commercial expertise;</w:t>
      </w:r>
    </w:p>
    <w:p>
      <w:pPr>
        <w:spacing w:after="0" w:line="225" w:lineRule="exact"/>
        <w:rPr>
          <w:rFonts w:ascii="Times New Roman" w:cs="Times New Roman" w:eastAsia="Times New Roman" w:hAnsi="Times New Roman"/>
          <w:sz w:val="18"/>
          <w:szCs w:val="18"/>
          <w:color w:val="auto"/>
        </w:rPr>
      </w:pPr>
    </w:p>
    <w:p>
      <w:pPr>
        <w:ind w:left="1040" w:right="9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publicly announced preliminary clinical trial data to support continued clinical development and regulatory approval for specific treatments;</w:t>
      </w:r>
    </w:p>
    <w:p>
      <w:pPr>
        <w:spacing w:after="0" w:line="80"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position;</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w:t>
      </w:r>
    </w:p>
    <w:p>
      <w:pPr>
        <w:spacing w:after="0" w:line="144" w:lineRule="exact"/>
        <w:rPr>
          <w:rFonts w:ascii="Times New Roman" w:cs="Times New Roman" w:eastAsia="Times New Roman" w:hAnsi="Times New Roman"/>
          <w:sz w:val="18"/>
          <w:szCs w:val="18"/>
          <w:color w:val="auto"/>
        </w:rPr>
      </w:pPr>
    </w:p>
    <w:p>
      <w:pPr>
        <w:ind w:left="1040" w:right="33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capabilities and strategy of our suppliers and vendors including key manufacturers of our clinical drug supplies;</w:t>
      </w:r>
    </w:p>
    <w:p>
      <w:pPr>
        <w:spacing w:after="0" w:line="80"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or retirement of key members of management;</w:t>
      </w:r>
    </w:p>
    <w:p>
      <w:pPr>
        <w:spacing w:after="0" w:line="144" w:lineRule="exact"/>
        <w:rPr>
          <w:rFonts w:ascii="Times New Roman" w:cs="Times New Roman" w:eastAsia="Times New Roman" w:hAnsi="Times New Roman"/>
          <w:sz w:val="18"/>
          <w:szCs w:val="18"/>
          <w:color w:val="auto"/>
        </w:rPr>
      </w:pPr>
    </w:p>
    <w:p>
      <w:pPr>
        <w:ind w:left="1040" w:right="33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execute our growth strategy, including any delays in our planned future growth;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 w:hanging="321"/>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w:t>
      </w:r>
    </w:p>
    <w:p>
      <w:pPr>
        <w:spacing w:after="0" w:line="104"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The factors, risks and uncertainties referred to above and others are more fully described under the heading “Risk Factors” in our Annual Report on Form 10-K for the fiscal year ended December 31, 2021 and this Quarterly Report on Form 10-Q. Forward-looking statements should be regarded solely as our current plans, estimates and beliefs.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2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60" w:type="dxa"/>
            <w:vAlign w:val="bottom"/>
          </w:tcPr>
          <w:p>
            <w:pPr>
              <w:spacing w:after="0"/>
              <w:rPr>
                <w:sz w:val="24"/>
                <w:szCs w:val="24"/>
                <w:color w:val="auto"/>
              </w:rPr>
            </w:pPr>
          </w:p>
        </w:tc>
        <w:tc>
          <w:tcPr>
            <w:tcW w:w="52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7"/>
              </w:rPr>
              <w:t>Xencor,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8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528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106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49,410</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143,480</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Marketable debt securities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153,767</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Marketable equity securities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36,860</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66,384</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23,877</w:t>
            </w:r>
          </w:p>
        </w:tc>
        <w:tc>
          <w:tcPr>
            <w:tcW w:w="0" w:type="dxa"/>
            <w:vAlign w:val="bottom"/>
          </w:tcPr>
          <w:p>
            <w:pPr>
              <w:spacing w:after="0"/>
              <w:rPr>
                <w:sz w:val="1"/>
                <w:szCs w:val="1"/>
                <w:color w:val="auto"/>
              </w:rPr>
            </w:pPr>
          </w:p>
        </w:tc>
      </w:tr>
      <w:tr>
        <w:trPr>
          <w:trHeight w:val="142"/>
        </w:trPr>
        <w:tc>
          <w:tcPr>
            <w:tcW w:w="6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585,936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424,368</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28,240</w:t>
            </w:r>
          </w:p>
        </w:tc>
        <w:tc>
          <w:tcPr>
            <w:tcW w:w="0" w:type="dxa"/>
            <w:vAlign w:val="bottom"/>
          </w:tcPr>
          <w:p>
            <w:pPr>
              <w:spacing w:after="0"/>
              <w:rPr>
                <w:sz w:val="1"/>
                <w:szCs w:val="1"/>
                <w:color w:val="auto"/>
              </w:rPr>
            </w:pPr>
          </w:p>
        </w:tc>
      </w:tr>
      <w:tr>
        <w:trPr>
          <w:trHeight w:val="148"/>
        </w:trPr>
        <w:tc>
          <w:tcPr>
            <w:tcW w:w="6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Patents, licenses, and other intangible assets, net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16,493</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debt securities - long term</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300,465</w:t>
            </w:r>
          </w:p>
        </w:tc>
        <w:tc>
          <w:tcPr>
            <w:tcW w:w="0" w:type="dxa"/>
            <w:vAlign w:val="bottom"/>
          </w:tcPr>
          <w:p>
            <w:pPr>
              <w:spacing w:after="0"/>
              <w:rPr>
                <w:sz w:val="1"/>
                <w:szCs w:val="1"/>
                <w:color w:val="auto"/>
              </w:rPr>
            </w:pPr>
          </w:p>
        </w:tc>
      </w:tr>
      <w:tr>
        <w:trPr>
          <w:trHeight w:val="149"/>
        </w:trPr>
        <w:tc>
          <w:tcPr>
            <w:tcW w:w="6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Marketable equity securities - long term</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31,262</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Notes receivable - long term</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8"/>
        </w:trPr>
        <w:tc>
          <w:tcPr>
            <w:tcW w:w="6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Right of use (ROU) asset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31,440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31,730</w:t>
            </w: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82"/>
        </w:trPr>
        <w:tc>
          <w:tcPr>
            <w:tcW w:w="1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5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838,211</w:t>
            </w:r>
          </w:p>
        </w:tc>
        <w:tc>
          <w:tcPr>
            <w:tcW w:w="0" w:type="dxa"/>
            <w:vAlign w:val="bottom"/>
          </w:tcPr>
          <w:p>
            <w:pPr>
              <w:spacing w:after="0"/>
              <w:rPr>
                <w:sz w:val="1"/>
                <w:szCs w:val="1"/>
                <w:color w:val="auto"/>
              </w:rPr>
            </w:pPr>
          </w:p>
        </w:tc>
      </w:tr>
      <w:tr>
        <w:trPr>
          <w:trHeight w:val="129"/>
        </w:trPr>
        <w:tc>
          <w:tcPr>
            <w:tcW w:w="63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15,747</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14,001</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19,443</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CCEEFF"/>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35,299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37,294</w:t>
            </w:r>
          </w:p>
        </w:tc>
        <w:tc>
          <w:tcPr>
            <w:tcW w:w="0" w:type="dxa"/>
            <w:vAlign w:val="bottom"/>
          </w:tcPr>
          <w:p>
            <w:pPr>
              <w:spacing w:after="0"/>
              <w:rPr>
                <w:sz w:val="1"/>
                <w:szCs w:val="1"/>
                <w:color w:val="auto"/>
              </w:rPr>
            </w:pPr>
          </w:p>
        </w:tc>
      </w:tr>
      <w:tr>
        <w:trPr>
          <w:trHeight w:val="142"/>
        </w:trPr>
        <w:tc>
          <w:tcPr>
            <w:tcW w:w="6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75,041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70,738</w:t>
            </w:r>
          </w:p>
        </w:tc>
        <w:tc>
          <w:tcPr>
            <w:tcW w:w="0" w:type="dxa"/>
            <w:vAlign w:val="bottom"/>
          </w:tcPr>
          <w:p>
            <w:pPr>
              <w:spacing w:after="0"/>
              <w:rPr>
                <w:sz w:val="1"/>
                <w:szCs w:val="1"/>
                <w:color w:val="auto"/>
              </w:rPr>
            </w:pPr>
          </w:p>
        </w:tc>
      </w:tr>
      <w:tr>
        <w:trPr>
          <w:trHeight w:val="149"/>
        </w:trPr>
        <w:tc>
          <w:tcPr>
            <w:tcW w:w="63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net of current portion</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33,943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33,969</w:t>
            </w: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108,984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104,707</w:t>
            </w:r>
          </w:p>
        </w:tc>
        <w:tc>
          <w:tcPr>
            <w:tcW w:w="0" w:type="dxa"/>
            <w:vAlign w:val="bottom"/>
          </w:tcPr>
          <w:p>
            <w:pPr>
              <w:spacing w:after="0"/>
              <w:rPr>
                <w:sz w:val="1"/>
                <w:szCs w:val="1"/>
                <w:color w:val="auto"/>
              </w:rPr>
            </w:pPr>
          </w:p>
        </w:tc>
      </w:tr>
      <w:tr>
        <w:trPr>
          <w:trHeight w:val="142"/>
        </w:trPr>
        <w:tc>
          <w:tcPr>
            <w:tcW w:w="6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 authorized shares; -0- issued and outstanding shares at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June 30, 2022 and December 31, 2021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34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Common stock, $0.01 par value: 200,000,000 authorized shares at June 30, 2022 and December 31,</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2021; 59,684,420 issued and outstanding at June 30, 2022 and 59,355,558 issued and outstanding at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71"/>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December 31, 2021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1,044,172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1,017,523</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(293,485)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(283,104)</w:t>
            </w:r>
          </w:p>
        </w:tc>
        <w:tc>
          <w:tcPr>
            <w:tcW w:w="0" w:type="dxa"/>
            <w:vAlign w:val="bottom"/>
          </w:tcPr>
          <w:p>
            <w:pPr>
              <w:spacing w:after="0"/>
              <w:rPr>
                <w:sz w:val="1"/>
                <w:szCs w:val="1"/>
                <w:color w:val="auto"/>
              </w:rPr>
            </w:pPr>
          </w:p>
        </w:tc>
      </w:tr>
      <w:tr>
        <w:trPr>
          <w:trHeight w:val="142"/>
        </w:trPr>
        <w:tc>
          <w:tcPr>
            <w:tcW w:w="63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742,341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733,504</w:t>
            </w:r>
          </w:p>
        </w:tc>
        <w:tc>
          <w:tcPr>
            <w:tcW w:w="0" w:type="dxa"/>
            <w:vAlign w:val="bottom"/>
          </w:tcPr>
          <w:p>
            <w:pPr>
              <w:spacing w:after="0"/>
              <w:rPr>
                <w:sz w:val="1"/>
                <w:szCs w:val="1"/>
                <w:color w:val="auto"/>
              </w:rPr>
            </w:pPr>
          </w:p>
        </w:tc>
      </w:tr>
      <w:tr>
        <w:trPr>
          <w:trHeight w:val="142"/>
        </w:trPr>
        <w:tc>
          <w:tcPr>
            <w:tcW w:w="6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851,325</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838,211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Xencor,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160" w:type="dxa"/>
            <w:vAlign w:val="bottom"/>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Collaborations, milestones, and royalties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115,670</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101,412</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107,998</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equity securities,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56,002</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43,161</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56,347</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marketable debt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59,567,139</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58,247,941</w:t>
            </w: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59,487,924</w:t>
            </w: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58,123,319</w:t>
            </w: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59,567,139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60,335,339</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59,487,924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60,503,846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Xencor,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8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59,355,558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1,017,523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(1,510)</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(283,104)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733,504</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(5,611)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17,983</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10,805</w:t>
            </w:r>
          </w:p>
        </w:tc>
        <w:tc>
          <w:tcPr>
            <w:tcW w:w="0" w:type="dxa"/>
            <w:vAlign w:val="bottom"/>
          </w:tcPr>
          <w:p>
            <w:pPr>
              <w:spacing w:after="0"/>
              <w:rPr>
                <w:sz w:val="1"/>
                <w:szCs w:val="1"/>
                <w:color w:val="auto"/>
              </w:rPr>
            </w:pPr>
          </w:p>
        </w:tc>
      </w:tr>
      <w:tr>
        <w:trPr>
          <w:trHeight w:val="142"/>
        </w:trPr>
        <w:tc>
          <w:tcPr>
            <w:tcW w:w="36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2022 (unaudited)</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59,529,192</w:t>
            </w:r>
          </w:p>
        </w:tc>
        <w:tc>
          <w:tcPr>
            <w:tcW w:w="100" w:type="dxa"/>
            <w:vAlign w:val="bottom"/>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1,029,058</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(7,121)</w:t>
            </w:r>
          </w:p>
        </w:tc>
        <w:tc>
          <w:tcPr>
            <w:tcW w:w="100" w:type="dxa"/>
            <w:vAlign w:val="bottom"/>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(259,510)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763,023</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68,580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71"/>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(33,975)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(35,798)</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12,603</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59,684,420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1,044,172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(8,944)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(293,485)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742,341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8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57,873,444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937,525</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(365,735)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572,444</w:t>
            </w:r>
          </w:p>
        </w:tc>
        <w:tc>
          <w:tcPr>
            <w:tcW w:w="0" w:type="dxa"/>
            <w:vAlign w:val="bottom"/>
          </w:tcPr>
          <w:p>
            <w:pPr>
              <w:spacing w:after="0"/>
              <w:rPr>
                <w:sz w:val="1"/>
                <w:szCs w:val="1"/>
                <w:color w:val="auto"/>
              </w:rPr>
            </w:pPr>
          </w:p>
        </w:tc>
      </w:tr>
      <w:tr>
        <w:trPr>
          <w:trHeight w:val="149"/>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230,701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(2,487)</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8,293</w:t>
            </w:r>
          </w:p>
        </w:tc>
        <w:tc>
          <w:tcPr>
            <w:tcW w:w="0" w:type="dxa"/>
            <w:vAlign w:val="bottom"/>
          </w:tcPr>
          <w:p>
            <w:pPr>
              <w:spacing w:after="0"/>
              <w:rPr>
                <w:sz w:val="1"/>
                <w:szCs w:val="1"/>
                <w:color w:val="auto"/>
              </w:rPr>
            </w:pPr>
          </w:p>
        </w:tc>
      </w:tr>
      <w:tr>
        <w:trPr>
          <w:trHeight w:val="142"/>
        </w:trPr>
        <w:tc>
          <w:tcPr>
            <w:tcW w:w="36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2021 (unaudited)</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58,221,953</w:t>
            </w:r>
          </w:p>
        </w:tc>
        <w:tc>
          <w:tcPr>
            <w:tcW w:w="100" w:type="dxa"/>
            <w:vAlign w:val="bottom"/>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951,154</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(368,222)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583,612</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30,552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71"/>
        </w:trPr>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52,248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52,136</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9,350</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58,315,485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962,343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(315,974)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646,938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Xencor,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199"/>
        </w:trPr>
        <w:tc>
          <w:tcPr>
            <w:tcW w:w="6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(10,380)</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49,761</w:t>
            </w:r>
          </w:p>
        </w:tc>
      </w:tr>
      <w:tr>
        <w:trPr>
          <w:trHeight w:val="20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premium on marketable securities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r>
      <w:tr>
        <w:trPr>
          <w:trHeight w:val="203"/>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17,643</w:t>
            </w: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Abandonment of capitalized intangible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3"/>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received in connection with sale of financial assets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equity securities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(37,701)</w:t>
            </w:r>
          </w:p>
        </w:tc>
      </w:tr>
      <w:tr>
        <w:trPr>
          <w:trHeight w:val="203"/>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on equity securities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 and contract asset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w:t>
            </w:r>
          </w:p>
        </w:tc>
      </w:tr>
      <w:tr>
        <w:trPr>
          <w:trHeight w:val="203"/>
        </w:trPr>
        <w:tc>
          <w:tcPr>
            <w:tcW w:w="64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receivable from marketable debt securities</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(448)</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03"/>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r>
      <w:tr>
        <w:trPr>
          <w:trHeight w:val="202"/>
        </w:trPr>
        <w:tc>
          <w:tcPr>
            <w:tcW w:w="64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r>
      <w:tr>
        <w:trPr>
          <w:trHeight w:val="203"/>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(3,095)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03"/>
        </w:trPr>
        <w:tc>
          <w:tcPr>
            <w:tcW w:w="64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Lease liabilities and ROU assets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(1,995)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(73,415)</w:t>
            </w:r>
          </w:p>
        </w:tc>
      </w:tr>
      <w:tr>
        <w:trPr>
          <w:trHeight w:val="19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50,084</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(39,620)</w:t>
            </w: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marketable debt securities</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(206,148)</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(231,459)</w:t>
            </w:r>
          </w:p>
        </w:tc>
      </w:tr>
      <w:tr>
        <w:trPr>
          <w:trHeight w:val="20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(3,197)</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r>
      <w:tr>
        <w:trPr>
          <w:trHeight w:val="202"/>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(14,443)</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sale of marketable debt securities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76,390</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221,752</w:t>
            </w: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(147,398)</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(15,261)</w:t>
            </w:r>
          </w:p>
        </w:tc>
      </w:tr>
      <w:tr>
        <w:trPr>
          <w:trHeight w:val="194"/>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awards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under the Employee Stock Purchase Plan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w:t>
            </w: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(47,702)</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r>
              <w:rPr>
                <w:rFonts w:ascii="Times New Roman" w:cs="Times New Roman" w:eastAsia="Times New Roman" w:hAnsi="Times New Roman"/>
                <w:sz w:val="16"/>
                <w:szCs w:val="16"/>
                <w:color w:val="auto"/>
              </w:rPr>
              <w:t>,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143,480</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163,544</w:t>
            </w:r>
          </w:p>
        </w:tc>
      </w:tr>
      <w:tr>
        <w:trPr>
          <w:trHeight w:val="23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r>
              <w:rPr>
                <w:rFonts w:ascii="Times New Roman" w:cs="Times New Roman" w:eastAsia="Times New Roman" w:hAnsi="Times New Roman"/>
                <w:sz w:val="16"/>
                <w:szCs w:val="16"/>
                <w:color w:val="auto"/>
              </w:rPr>
              <w:t>, end of period</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49,410</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115,842</w:t>
            </w:r>
          </w:p>
        </w:tc>
      </w:tr>
      <w:tr>
        <w:trPr>
          <w:trHeight w:val="183"/>
        </w:trPr>
        <w:tc>
          <w:tcPr>
            <w:tcW w:w="6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83"/>
        </w:trPr>
        <w:tc>
          <w:tcPr>
            <w:tcW w:w="64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Supplemental disclosures of non-cash investing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loss on marketable debt securities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(7,435)</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196"/>
        </w:trPr>
        <w:tc>
          <w:tcPr>
            <w:tcW w:w="6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Xencor,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for Xencor, Inc. (the Company, Xencor, we or us)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 preparation of interim financial statements requires the use of management’s estimates and assumptions that affect reported amounts of assets and liabilities at the date of the interim financial statements and the reported revenues and expenditures during the reported periods. These interim financial results are not necessarily indicative of the results expected for the full fiscal year or for any subsequent interim period.</w:t>
      </w:r>
    </w:p>
    <w:p>
      <w:pPr>
        <w:spacing w:after="0" w:line="192" w:lineRule="exact"/>
        <w:rPr>
          <w:sz w:val="20"/>
          <w:szCs w:val="20"/>
          <w:color w:val="auto"/>
        </w:rPr>
      </w:pPr>
    </w:p>
    <w:p>
      <w:pPr>
        <w:jc w:val="both"/>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financial statements and related notes should be read in conjunction with the audited financial statements and notes thereto included in the Company’s 2021 Annual Report on Form 10-K filed with the Securities and Exchange Commission (SEC) on February 24, 2022.</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interim financial statements in conformity with GAAP requires management to make certain estimates and assumptions that affect the reported amounts of assets, liabilities, revenues and expenses, other comprehensive gain (loss) and the related disclosures. On an ongoing basis, management evaluates its estimates, including estimates related to its accrued clinical trial and manufacturing development expenses, stock-based compensation expense, evaluation of intangible assets, investments, leases and other assets for evidence of impairment, fair value measurements, and contingencies. Significant estimates in these interim financial statements include estimates made for royalty revenue, accrued research and development expenses, stock-based compensation expenses, intangible assets, incremental borrowing rate for right-of-use asset and lease liability, estimated standalone selling price of performance obligations, estimated time for completing delivery of performance obligations under certain arrangements, the likelihood of recognizing variable consideration, the carrying value of equity instruments without a readily determinable fair value, and recoverability of deferred tax assets.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definite-lived intangible assets related to certain capitalized costs of acquired licenses and third-party costs incurred in establishing and maintaining its intellectual property rights to its platform technologies and development candidates. These assets are amortized over their useful lives, which are estimated to be the remaining patent life or the contractual term of the license. The straight-line method is used to record amortization expense. The Company assesses its intangible assets for impairment if indicators are present or changes in circumstances suggest that impairment may exist. There was no impairment charge recorded for the three and six months ended June 30, 2022 and 2021.</w:t>
      </w:r>
    </w:p>
    <w:p>
      <w:pPr>
        <w:spacing w:after="0" w:line="187"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certain in-process intangible assets that are then abandoned when they are no longer pursued or used in current research activities. We abandoned $0.7 million and $1.0 million of in-process intangible assets during the three and six months ended June 30, 2022, respectively. There was no material abandonment of in-process intangible assets during the three and six months ended June 30, 2021.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and Equity Securities</w:t>
      </w:r>
    </w:p>
    <w:p>
      <w:pPr>
        <w:spacing w:after="0" w:line="229"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investment policy that includes guidelines on acceptable investment securities, minimum credit quality, maturity parameters, and concentration and diversification. The Company invests its excess cash primarily in marketable debt securities issued by investment grade institutions.</w:t>
      </w:r>
    </w:p>
    <w:p>
      <w:pPr>
        <w:spacing w:after="0" w:line="176"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considers its marketable debt securities to be available-for-sale because it is not more likely than not that the Company will be required to sell the securities before recovery of the amortized cost. These assets are carried at fair value and any impairment losses and recoveries related to the underlying issuer’s credit standing are recognized within other income (expense), while non-credit related impairment losses and recoveries are recognized within accumulated other comprehensive income (loss). There were no impairment losses or recoveries recorded for the three and six months ended June 30, 2022 and 2021. Accrued interest on marketable debt securities is included in the marketable securities’ carrying value. Each reporting period, the Company reviews its portfolio of marketable debt securities, using both quantitative and qualitative factors, to determine if each security’s fair value has declined below its amortized cost basis. During the three and six months ended June 30, 2022, the Company recorded an unrealized loss of $1.8 million and $7.4 million, respectively, in its portfolio of marketable debt securities. The unrealized loss is due to the changing interest rate environment and is not due to changes in the credit quality of the underlying securities. The unrealized loss is recorded in other comprehensive income (loss) for the three and six months ended June 30, 2022.</w:t>
      </w:r>
    </w:p>
    <w:p>
      <w:pPr>
        <w:spacing w:after="0" w:line="190"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equity securities in connection with certain licensing transactions with its partners. These investments in equity securities are carried at fair value with changes in fair value recognized each period and reported within other income (expense). For equity securities with a readily determinable fair value, the Company remeasures these equity investments at each reporting period until such time that the investment is sold or disposed. If the Company sells an investment, any realized gain or loss on the sale of the securities will be recognized within other income (expense) in the Statements of Comprehensive Income (Loss) in the period of sale.</w:t>
      </w:r>
    </w:p>
    <w:p>
      <w:pPr>
        <w:spacing w:after="0" w:line="187"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also has investments in equity securities without a readily determinable fair value, where the Company elects the measurement alternative to record the investment at its initial cost minus impairment, plus or minus changes resulting from observable price changes in orderly transactions for the identical or a similar investment of the same issuer. During the three and six months ended June 30, 2022, the Company recorded an impairment charge of $0.1 million in connection with equity securities without a readily determinable fair value. There was no impairment charge recorded for the three and six months ended June 30, 2021.</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Pronouncements Not Yet Effective</w:t>
      </w:r>
    </w:p>
    <w:p>
      <w:pPr>
        <w:spacing w:after="0" w:line="225" w:lineRule="exact"/>
        <w:rPr>
          <w:sz w:val="20"/>
          <w:szCs w:val="20"/>
          <w:color w:val="auto"/>
        </w:rPr>
      </w:pPr>
    </w:p>
    <w:p>
      <w:pPr>
        <w:ind w:left="40" w:right="9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2022, the Financial Accounting Standards Board (FASB) issued ASU No. 2022-03,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(Topic 820): Fair Value Measurement of Equity Securities Subject to Contractual Sale Restrictions</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on and after December 15, 2023, and interim periods within those fiscal years. The standard clarifies that a contractual restriction on the sale of an equity security is not considered part of the unit of account of the equity security and is not considered in measuring fair value. The Company does not anticipate that the standard will have a significant impact on its financial statements.</w:t>
      </w:r>
    </w:p>
    <w:p>
      <w:pPr>
        <w:spacing w:after="0" w:line="184"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Fair Value of Financial Instruments</w:t>
      </w:r>
    </w:p>
    <w:p>
      <w:pPr>
        <w:spacing w:after="0" w:line="229" w:lineRule="exact"/>
        <w:rPr>
          <w:sz w:val="20"/>
          <w:szCs w:val="20"/>
          <w:color w:val="auto"/>
        </w:rPr>
      </w:pPr>
    </w:p>
    <w:p>
      <w:pPr>
        <w:ind w:left="40" w:right="16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included in the financial statements include cash and cash equivalents, marketable debt and equity securities, accounts receivable, accounts payable, and accrued expenses. Marketable debt securities, equity securities, and cash equivalents are carried at fair value. The fair value of the other financial instruments closely approximates their fair value due to their short-term maturities.</w:t>
      </w:r>
    </w:p>
    <w:p>
      <w:pPr>
        <w:spacing w:after="0" w:line="180" w:lineRule="exact"/>
        <w:rPr>
          <w:sz w:val="20"/>
          <w:szCs w:val="20"/>
          <w:color w:val="auto"/>
        </w:rPr>
      </w:pPr>
    </w:p>
    <w:p>
      <w:pPr>
        <w:ind w:left="40"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recurring and non-recurring fair value measurements in accordance with FASB Accounting Standards Codification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establishes a fair value hierarchy for assets and liabilities measured at fair value, and requires expanded disclosure about fair value measurements. The ASC 820 hierarchy ranks the quality of reliable inputs, or assumptions, used in the determination of fair value and requires assets and liabilities carried at fair value to be classified and disclosed in one of the following three categories:</w:t>
      </w:r>
    </w:p>
    <w:p>
      <w:pPr>
        <w:spacing w:after="0" w:line="185" w:lineRule="exact"/>
        <w:rPr>
          <w:sz w:val="20"/>
          <w:szCs w:val="20"/>
          <w:color w:val="auto"/>
        </w:rPr>
      </w:pPr>
    </w:p>
    <w:p>
      <w:pPr>
        <w:ind w:left="1340" w:right="600" w:hanging="647"/>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Fair value is determined by using unadjusted quoted prices that are available in active markets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assets or liabilities.</w:t>
      </w:r>
    </w:p>
    <w:p>
      <w:pPr>
        <w:spacing w:after="0" w:line="50" w:lineRule="exact"/>
        <w:rPr>
          <w:sz w:val="20"/>
          <w:szCs w:val="20"/>
          <w:color w:val="auto"/>
        </w:rPr>
      </w:pPr>
    </w:p>
    <w:p>
      <w:pPr>
        <w:ind w:left="1340" w:right="80" w:hanging="647"/>
        <w:spacing w:after="0" w:line="258"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Fair value is determined by using inputs other than Level 1 quoted prices that are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can include quoted prices for similar assets or liabilities in active markets or quoted prices for identical assets or liabilities in markets that are not active. Related inputs can also include those used in valuation or other pricing models, such as interest rates and yield curves that can be corroborated by observable market data.</w:t>
      </w:r>
    </w:p>
    <w:p>
      <w:pPr>
        <w:spacing w:after="0" w:line="75" w:lineRule="exact"/>
        <w:rPr>
          <w:sz w:val="20"/>
          <w:szCs w:val="20"/>
          <w:color w:val="auto"/>
        </w:rPr>
      </w:pPr>
    </w:p>
    <w:p>
      <w:pPr>
        <w:ind w:left="1340" w:right="3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Fair value is determined by inputs that are unobservable and not corroborated by market data.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inputs involves significant and subjective judgments to be made by the reporting entity – e.g., determining an appropriate discount factor for illiquidity associated with a given security.</w:t>
      </w:r>
    </w:p>
    <w:p>
      <w:pPr>
        <w:spacing w:after="0" w:line="175" w:lineRule="exact"/>
        <w:rPr>
          <w:sz w:val="20"/>
          <w:szCs w:val="20"/>
          <w:color w:val="auto"/>
        </w:rPr>
      </w:pPr>
    </w:p>
    <w:p>
      <w:pPr>
        <w:ind w:left="40"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financial assets using the highest level of inputs that are reasonably available as of the measurement date. The assets recorded at fair value are classified within the hierarchy as follows for the periods reported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gridSpan w:val="7"/>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7"/>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144,418</w:t>
            </w: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400,195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400,195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309,814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309,814</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596,356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576,036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578,124</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454,232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80" w:firstLine="648"/>
        <w:spacing w:after="0" w:line="266" w:lineRule="auto"/>
        <w:rPr>
          <w:sz w:val="20"/>
          <w:szCs w:val="20"/>
          <w:color w:val="auto"/>
        </w:rPr>
      </w:pPr>
      <w:r>
        <w:rPr>
          <w:rFonts w:ascii="Times New Roman" w:cs="Times New Roman" w:eastAsia="Times New Roman" w:hAnsi="Times New Roman"/>
          <w:sz w:val="18"/>
          <w:szCs w:val="18"/>
          <w:color w:val="auto"/>
        </w:rPr>
        <w:t>Our policy is to record transfers of assets between Level 1 and Level 2 at their fair values as of the end of each reporting period, consistent with the date of the determination of fair value. During the three and six months ended June 30, 2022 and 2021, there were no transfers between Level 1 and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Net Income (Loss) Per Common Share</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attributable to common stockholders by the weighted-average number of common shares outstanding during the period without consideration of common stock equivalents. Diluted net income (loss) per common share is computed by dividing the net income (loss) attributable to common stockholders by the weighted-average number of common stock equivalents outstanding for the period. Potentially dilutive securities consisting of stock issuable pursuant to outstanding options and restricted stock units (RSUs), and stock issuable pursuant to the 2013 Employee Stock Purchase Plan (ESPP) are not included in the per common share calculation in periods when the inclusion of such shares would have an anti-dilutive effect.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income (loss) per common share is computed as follows: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9"/>
                <w:szCs w:val="19"/>
                <w:color w:val="auto"/>
              </w:rPr>
            </w:pPr>
          </w:p>
        </w:tc>
        <w:tc>
          <w:tcPr>
            <w:tcW w:w="29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60" w:type="dxa"/>
            <w:vAlign w:val="bottom"/>
          </w:tcPr>
          <w:p>
            <w:pPr>
              <w:spacing w:after="0"/>
              <w:rPr>
                <w:sz w:val="19"/>
                <w:szCs w:val="19"/>
                <w:color w:val="auto"/>
              </w:rPr>
            </w:pPr>
          </w:p>
        </w:tc>
        <w:tc>
          <w:tcPr>
            <w:tcW w:w="29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199"/>
        </w:trPr>
        <w:tc>
          <w:tcPr>
            <w:tcW w:w="2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52,248</w:t>
            </w:r>
          </w:p>
        </w:tc>
        <w:tc>
          <w:tcPr>
            <w:tcW w:w="4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49,761</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used in computing basic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59,567,139</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58,247,941</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59,487,924</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58,123,319</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2,087,398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2,380,527</w:t>
            </w: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used in computing</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59,567,139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60,335,339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59,487,924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60,503,846</w:t>
            </w:r>
          </w:p>
        </w:tc>
        <w:tc>
          <w:tcPr>
            <w:tcW w:w="0" w:type="dxa"/>
            <w:vAlign w:val="bottom"/>
          </w:tcPr>
          <w:p>
            <w:pPr>
              <w:spacing w:after="0"/>
              <w:rPr>
                <w:sz w:val="1"/>
                <w:szCs w:val="1"/>
                <w:color w:val="auto"/>
              </w:rPr>
            </w:pPr>
          </w:p>
        </w:tc>
      </w:tr>
      <w:tr>
        <w:trPr>
          <w:trHeight w:val="221"/>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Basic net income (loss) per common</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60" w:type="dxa"/>
            <w:vAlign w:val="bottom"/>
            <w:vMerge w:val="continue"/>
          </w:tcPr>
          <w:p>
            <w:pPr>
              <w:spacing w:after="0"/>
              <w:rPr>
                <w:sz w:val="13"/>
                <w:szCs w:val="13"/>
                <w:color w:val="auto"/>
              </w:rPr>
            </w:pPr>
          </w:p>
        </w:tc>
        <w:tc>
          <w:tcPr>
            <w:tcW w:w="4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7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4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Diluted net income (loss) per</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60" w:type="dxa"/>
            <w:vAlign w:val="bottom"/>
            <w:vMerge w:val="continue"/>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4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70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4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we excluded all shares of stock issuable pursuant to outstanding options and RSUs from the calculation, because the inclusion of such shares would have had an anti-dilutive effect. For the three and six months ended June 30, 2021, we excluded 1,374,608 and 698,917 shares of stock issuable pursuant to outstanding options and RSUs from the calculation, respectively, because the inclusion of such shares would have had an anti-dilutive effect.</w:t>
      </w: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Comprehensive Income (Loss)</w:t>
      </w:r>
    </w:p>
    <w:p>
      <w:pPr>
        <w:spacing w:after="0" w:line="229"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For each of the three- and six-month periods ended June 30, 2022 and 2021, the only component of other comprehensive loss is net unrealized loss on marketable debt securities. There were no material reclassifications out of accumulated other comprehensive loss during each of the three- and six-month periods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Marketable Debt and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marketable debt securities held as of June 30, 2022 and December 31, 2021 are summarized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below:</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17"/>
                <w:szCs w:val="17"/>
                <w:color w:val="auto"/>
              </w:rPr>
            </w:pPr>
          </w:p>
        </w:tc>
        <w:tc>
          <w:tcPr>
            <w:tcW w:w="102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7"/>
                <w:szCs w:val="17"/>
                <w:color w:val="auto"/>
              </w:rPr>
            </w:pPr>
          </w:p>
        </w:tc>
        <w:tc>
          <w:tcPr>
            <w:tcW w:w="10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175,841</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407,727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400,195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605,290</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596,356</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576,036</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1420" w:type="dxa"/>
            <w:vAlign w:val="bottom"/>
            <w:tcBorders>
              <w:bottom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w w:val="98"/>
              </w:rPr>
              <w:t>December 31, 2021</w:t>
            </w: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17"/>
                <w:szCs w:val="17"/>
                <w:color w:val="auto"/>
              </w:rPr>
            </w:pPr>
          </w:p>
        </w:tc>
        <w:tc>
          <w:tcPr>
            <w:tcW w:w="74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w:t>
            </w:r>
          </w:p>
        </w:tc>
        <w:tc>
          <w:tcPr>
            <w:tcW w:w="0" w:type="dxa"/>
            <w:vAlign w:val="bottom"/>
          </w:tcPr>
          <w:p>
            <w:pPr>
              <w:spacing w:after="0"/>
              <w:rPr>
                <w:sz w:val="1"/>
                <w:szCs w:val="1"/>
                <w:color w:val="auto"/>
              </w:rPr>
            </w:pPr>
          </w:p>
        </w:tc>
      </w:tr>
      <w:tr>
        <w:trPr>
          <w:trHeight w:val="230"/>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144,418</w:t>
            </w:r>
          </w:p>
        </w:tc>
        <w:tc>
          <w:tcPr>
            <w:tcW w:w="0" w:type="dxa"/>
            <w:vAlign w:val="bottom"/>
          </w:tcPr>
          <w:p>
            <w:pPr>
              <w:spacing w:after="0"/>
              <w:rPr>
                <w:sz w:val="1"/>
                <w:szCs w:val="1"/>
                <w:color w:val="auto"/>
              </w:rPr>
            </w:pPr>
          </w:p>
        </w:tc>
      </w:tr>
      <w:tr>
        <w:trPr>
          <w:trHeight w:val="230"/>
        </w:trPr>
        <w:tc>
          <w:tcPr>
            <w:tcW w:w="4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309,814</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579,624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578,124</w:t>
            </w: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w:t>
            </w: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454,232</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360" w:type="dxa"/>
            <w:vAlign w:val="bottom"/>
            <w:gridSpan w:val="14"/>
            <w:vMerge w:val="restart"/>
          </w:tcPr>
          <w:p>
            <w:pPr>
              <w:ind w:left="440"/>
              <w:spacing w:after="0"/>
              <w:rPr>
                <w:sz w:val="20"/>
                <w:szCs w:val="20"/>
                <w:color w:val="auto"/>
              </w:rPr>
            </w:pPr>
            <w:r>
              <w:rPr>
                <w:rFonts w:ascii="Times New Roman" w:cs="Times New Roman" w:eastAsia="Times New Roman" w:hAnsi="Times New Roman"/>
                <w:sz w:val="18"/>
                <w:szCs w:val="18"/>
                <w:color w:val="auto"/>
              </w:rPr>
              <w:t>The maturities of the Company’s marketable debt securities as of June 30, 2022 are as follows:</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spacing w:after="0"/>
              <w:rPr>
                <w:sz w:val="24"/>
                <w:szCs w:val="24"/>
                <w:color w:val="auto"/>
              </w:rPr>
            </w:pPr>
          </w:p>
        </w:tc>
        <w:tc>
          <w:tcPr>
            <w:tcW w:w="7360" w:type="dxa"/>
            <w:vAlign w:val="bottom"/>
            <w:gridSpan w:val="14"/>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41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20" w:type="dxa"/>
            <w:vAlign w:val="bottom"/>
          </w:tcPr>
          <w:p>
            <w:pPr>
              <w:spacing w:after="0" w:line="20" w:lineRule="exact"/>
              <w:rPr>
                <w:sz w:val="1"/>
                <w:szCs w:val="1"/>
                <w:color w:val="auto"/>
              </w:rPr>
            </w:pPr>
          </w:p>
        </w:tc>
        <w:tc>
          <w:tcPr>
            <w:tcW w:w="4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41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440,279</w:t>
            </w:r>
          </w:p>
        </w:tc>
        <w:tc>
          <w:tcPr>
            <w:tcW w:w="720" w:type="dxa"/>
            <w:vAlign w:val="bottom"/>
            <w:gridSpan w:val="2"/>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435,623</w:t>
            </w:r>
          </w:p>
        </w:tc>
        <w:tc>
          <w:tcPr>
            <w:tcW w:w="0" w:type="dxa"/>
            <w:vAlign w:val="bottom"/>
          </w:tcPr>
          <w:p>
            <w:pPr>
              <w:spacing w:after="0"/>
              <w:rPr>
                <w:sz w:val="1"/>
                <w:szCs w:val="1"/>
                <w:color w:val="auto"/>
              </w:rPr>
            </w:pPr>
          </w:p>
        </w:tc>
      </w:tr>
      <w:tr>
        <w:trPr>
          <w:trHeight w:val="243"/>
        </w:trPr>
        <w:tc>
          <w:tcPr>
            <w:tcW w:w="22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Mature within two years</w:t>
            </w:r>
          </w:p>
        </w:tc>
        <w:tc>
          <w:tcPr>
            <w:tcW w:w="1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144,691</w:t>
            </w: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140,413</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584,970</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unrealized losses on available-for-sale investments and their related fair values as of June 30, 2022 and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2021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r>
      <w:tr>
        <w:trPr>
          <w:trHeight w:val="210"/>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89"/>
        </w:trPr>
        <w:tc>
          <w:tcPr>
            <w:tcW w:w="2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June 30, 2022</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losses</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2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275,536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8"/>
              </w:rPr>
              <w:t>December 31, 2021</w:t>
            </w: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20" w:type="dxa"/>
            <w:vAlign w:val="bottom"/>
            <w:gridSpan w:val="3"/>
            <w:vMerge w:val="continue"/>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659" w:firstLine="648"/>
        <w:spacing w:after="0" w:line="282" w:lineRule="auto"/>
        <w:rPr>
          <w:sz w:val="20"/>
          <w:szCs w:val="20"/>
          <w:color w:val="auto"/>
        </w:rPr>
      </w:pPr>
      <w:r>
        <w:rPr>
          <w:rFonts w:ascii="Times New Roman" w:cs="Times New Roman" w:eastAsia="Times New Roman" w:hAnsi="Times New Roman"/>
          <w:sz w:val="18"/>
          <w:szCs w:val="18"/>
          <w:color w:val="auto"/>
        </w:rPr>
        <w:t>The unrealized losses from the available-for-sale securities are primarily due to changes in the interest rate environment and not changes in the credit quality of the underlying securities in the portfolio.</w:t>
      </w:r>
    </w:p>
    <w:p>
      <w:pPr>
        <w:spacing w:after="0" w:line="162" w:lineRule="exact"/>
        <w:rPr>
          <w:sz w:val="20"/>
          <w:szCs w:val="20"/>
          <w:color w:val="auto"/>
        </w:rPr>
      </w:pPr>
    </w:p>
    <w:p>
      <w:pPr>
        <w:jc w:val="both"/>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Company’s equity securities include securities with a readily determinable fair value. These investments are carried at fair value with changes in fair value recognized each period and reported within other income (expense). For the three and six months ended June 30, 2022, losses of $6.5 million and $10.0 million, respectively, were recorded in loss on equity securities under other income (expense) related to these securities. Equity securities with a readily determinable fair value, which are categorized as Level 1 in the fair value hierarchy under ASC 820, and their fair values (in thousands) as of June 30, 2022 and December 31, 2021 are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3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Astria Common Stock</w:t>
            </w:r>
          </w:p>
        </w:tc>
        <w:tc>
          <w:tcPr>
            <w:tcW w:w="17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INmune Common Stock</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19,233</w:t>
            </w: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Viridian Common Stock</w:t>
            </w:r>
          </w:p>
        </w:tc>
        <w:tc>
          <w:tcPr>
            <w:tcW w:w="17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r>
      <w:tr>
        <w:trPr>
          <w:trHeight w:val="210"/>
        </w:trPr>
        <w:tc>
          <w:tcPr>
            <w:tcW w:w="3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36,860</w:t>
            </w:r>
          </w:p>
        </w:tc>
      </w:tr>
      <w:tr>
        <w:trPr>
          <w:trHeight w:val="20"/>
        </w:trPr>
        <w:tc>
          <w:tcPr>
            <w:tcW w:w="3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also has investments in equity securities without a readily determinable fair value. The Company elects the measurement alternative to record these investments at their initial cost and evaluate such investments at each reporting period for evidence of impairment, or observable price changes in orderly transactions for the identical or a similar investment of the same issuer. Equity securities without a readily determinable fair value and their carrying values (in thousands) as of June 30, 2022 and December 31, 2021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243"/>
        </w:trPr>
        <w:tc>
          <w:tcPr>
            <w:tcW w:w="338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Astria Preferred Stock</w:t>
            </w: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Zenas Preferred Stock</w:t>
            </w:r>
          </w:p>
        </w:tc>
        <w:tc>
          <w:tcPr>
            <w:tcW w:w="1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w:t>
            </w:r>
          </w:p>
        </w:tc>
      </w:tr>
      <w:tr>
        <w:trPr>
          <w:trHeight w:val="209"/>
        </w:trPr>
        <w:tc>
          <w:tcPr>
            <w:tcW w:w="33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w:t>
            </w:r>
          </w:p>
        </w:tc>
      </w:tr>
      <w:tr>
        <w:trPr>
          <w:trHeight w:val="20"/>
        </w:trPr>
        <w:tc>
          <w:tcPr>
            <w:tcW w:w="3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2018, the Company received equity shares in Quellis Biosciences, Inc. (Quellis) in connection with a licensing transaction. In 2021, Quellis merged into Astria Therapeutics, Inc. (Astria) (formerly Catabasis Pharmaceuticals, Inc.), and the Company received common and preferred stock in Astria in exchange for its Quellis equity. The shares of Astria common stock have a readily determinable fair value. The adjustment in the fair value of the Astria common stock has been recorded in gain (loss) on equity securities for the three and six months ended June 30, 2022.</w:t>
      </w:r>
    </w:p>
    <w:p>
      <w:pPr>
        <w:spacing w:after="0" w:line="183"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its investment in the shares of Astria preferred stock as an equity interest without a readily determinable fair value. The Company elected to record the shares of preferred stock at their initial cost and to review the carrying value for impairment or other changes in carrying value at each reporting period. During the three and six months ended June 30, 2022, the Company recorded an impairment charge of $0.1 million related to its investment in Astria’s preferred stock.</w:t>
      </w:r>
    </w:p>
    <w:p>
      <w:pPr>
        <w:spacing w:after="0" w:line="183"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holds 1,885,533 shares of common stock of INmune Bio, Inc. (INmune). The 1,885,533 shares of INmune common stock are classified as equity securities with a readily determinable fair value, and the adjustment in the fair value of the shares of INmune common stock has been recorded in gain (loss) on equity securities for the three and six months ended June 30, 2022.</w:t>
      </w:r>
    </w:p>
    <w:p>
      <w:pPr>
        <w:spacing w:after="0" w:line="180"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holds 717,144 shares of common stock of Viridian Therapeutics, Inc. (Viridian). The shares of Viridian common stock are classified as equity securities with a readily determinable fair value, and the adjustment in the fair value of the shares of Viridian common stock was recorded in gain (loss) on equity securities for the three and six months ended June 30, 2022.</w:t>
      </w:r>
    </w:p>
    <w:p>
      <w:pPr>
        <w:spacing w:after="0" w:line="180"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holds an equity interest in Zenas BioPharma Limited (Zenas), a private biotechnology company. The Company’s equity interests include preferred stock in Zenas and a warrant to acquire additional equity in Zenas in a subsequent financing. The Company also holds a convertible promissory note from Zenas. The Company elected the measurement alternative to carry the Zenas equity and the warrant at cost minus impairment, plus or minus changes resulting from observable price changes in orderly transactions for the identical or a similar investment of the same issuer. During the three and six months ended June 30, 2022, there has not been any impairment or observable price changes related to this investment.</w:t>
      </w:r>
    </w:p>
    <w:p>
      <w:pPr>
        <w:spacing w:after="0" w:line="189"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Unrealized (loss) gain recognized on equity securities during each of the three- and six-month periods ended June 30, 2022 and 2021, consist of the following: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recognized on equity securities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56,002</w:t>
            </w:r>
          </w:p>
        </w:tc>
      </w:tr>
      <w:tr>
        <w:trPr>
          <w:trHeight w:val="21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gain recognized on sale of equity securities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w:t>
            </w:r>
          </w:p>
        </w:tc>
      </w:tr>
      <w:tr>
        <w:trPr>
          <w:trHeight w:val="209"/>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recognized on equity securities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Stock Based Compensation</w:t>
      </w:r>
    </w:p>
    <w:p>
      <w:pPr>
        <w:spacing w:after="0" w:line="229" w:lineRule="exact"/>
        <w:rPr>
          <w:sz w:val="20"/>
          <w:szCs w:val="20"/>
          <w:color w:val="auto"/>
        </w:rPr>
      </w:pPr>
    </w:p>
    <w:p>
      <w:pPr>
        <w:ind w:left="40" w:right="99" w:firstLine="648"/>
        <w:spacing w:after="0" w:line="274" w:lineRule="auto"/>
        <w:rPr>
          <w:sz w:val="20"/>
          <w:szCs w:val="20"/>
          <w:color w:val="auto"/>
        </w:rPr>
      </w:pPr>
      <w:r>
        <w:rPr>
          <w:rFonts w:ascii="Times New Roman" w:cs="Times New Roman" w:eastAsia="Times New Roman" w:hAnsi="Times New Roman"/>
          <w:sz w:val="17"/>
          <w:szCs w:val="17"/>
          <w:color w:val="auto"/>
        </w:rPr>
        <w:t>Our Board of Directors (the Board) and the requisite stockholders previously approved the 2010 Equity Incentive Plan (the 2010 Plan). In October 2013, the Board approved the 2013 Equity Incentive Plan (the 2013 Plan), and in November 2013, our stockholders approved the 2013 Plan, which became effective as of December 3, 2013. As of December 2, 2013, we suspended the 2010 Plan, and no additional awards may be granted under the 2010 Plan. Any shares of common stock covered by awards granted under the 2010 Plan that terminate after December 2, 2013 by expiration, forfeiture, cancellation, or other means without the issuance of such shares will be added to the 2013 Plan reserve.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firstLine="648"/>
        <w:spacing w:after="0" w:line="255" w:lineRule="auto"/>
        <w:rPr>
          <w:sz w:val="20"/>
          <w:szCs w:val="20"/>
          <w:color w:val="auto"/>
        </w:rPr>
      </w:pPr>
      <w:r>
        <w:rPr>
          <w:rFonts w:ascii="Times New Roman" w:cs="Times New Roman" w:eastAsia="Times New Roman" w:hAnsi="Times New Roman"/>
          <w:sz w:val="18"/>
          <w:szCs w:val="18"/>
          <w:color w:val="auto"/>
        </w:rPr>
        <w:t>As of June 30, 2022, the total number of shares of common stock available for issuance under the 2013 Plan is 15,063,313. Unless otherwise determined by the Board, beginning January 1, 2014, and continuing until the expiration of the 2013 Plan, the total number of shares of common stock available for issuance under the 2013 Plan will automatically increase annually on January 1 of each year by 4% of the total number of issued and outstanding shares of common stock as of December 31 of the immediately preceding year. Pursuant to approval by the Board, the total number of shares of common stock available for issuance under the 2013 Plan was increased by 2,374,222 shares on January 1, 2022. As of June 30, 2022, a total of 14,284,024 options have been granted under the 2013 Plan.</w:t>
      </w:r>
    </w:p>
    <w:p>
      <w:pPr>
        <w:spacing w:after="0" w:line="189" w:lineRule="exact"/>
        <w:rPr>
          <w:sz w:val="20"/>
          <w:szCs w:val="20"/>
          <w:color w:val="auto"/>
        </w:rPr>
      </w:pPr>
    </w:p>
    <w:p>
      <w:pPr>
        <w:ind w:left="40" w:right="59" w:firstLine="648"/>
        <w:spacing w:after="0" w:line="272" w:lineRule="auto"/>
        <w:rPr>
          <w:sz w:val="20"/>
          <w:szCs w:val="20"/>
          <w:color w:val="auto"/>
        </w:rPr>
      </w:pPr>
      <w:r>
        <w:rPr>
          <w:rFonts w:ascii="Times New Roman" w:cs="Times New Roman" w:eastAsia="Times New Roman" w:hAnsi="Times New Roman"/>
          <w:sz w:val="17"/>
          <w:szCs w:val="17"/>
          <w:color w:val="auto"/>
        </w:rPr>
        <w:t>In November 2013, the Board and our stockholders approved the ESPP, which became effective as of December 5, 2013. As of June 30, 2022, the total number of shares of common stock available for issuance under the ESPP is 576,409. Unless otherwise determined by the Board, beginning on January 1, 2014, and continuing until the expiration of the ESPP, the total number of shares of common stock available for issuance under the ESPP will automatically increase annually on January 1 by the lesser of (i) 1% of the total number of issued and outstanding shares of common stock as of December 31 of the immediately preceding year, or (ii) 621,814 shares of common stock. Pursuant to approval by the Board, the total number of shares of common stock available for issuance under the ESPP was increased by 1%, which is 593,555 shares, on January 1, 2022. As of June 30, 2022, we have issued a total of 598,432 shares of common stock under the ESPP.</w:t>
      </w:r>
    </w:p>
    <w:p>
      <w:pPr>
        <w:spacing w:after="0" w:line="172"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awarded 763,830 RSUs to certain employees. The standard vesting of these awards is generally in three equal annual installments and is contingent on an employee’s continued service to the Company. The fair value of these awards is determined based on the intrinsic value of the stock on the date of grant and will be recognized as stock-based compensation expense over the requisite service period. As of June 30, 2022, a total of 1,888,317 RSUs have been granted under the 2013 Plan.</w:t>
      </w:r>
    </w:p>
    <w:p>
      <w:pPr>
        <w:spacing w:after="0" w:line="183"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Total employee, director and non-employee stock-based compensation expense recognized for the three months ended June 30, 2022 and 2021 are as follows (in thousands):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1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r>
      <w:tr>
        <w:trPr>
          <w:trHeight w:val="210"/>
        </w:trPr>
        <w:tc>
          <w:tcPr>
            <w:tcW w:w="4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484"/>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6"/>
        </w:trPr>
        <w:tc>
          <w:tcPr>
            <w:tcW w:w="4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w:t>
            </w: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10"/>
        </w:trPr>
        <w:tc>
          <w:tcPr>
            <w:tcW w:w="4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w:t>
            </w: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45"/>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option activity under our stock plans and related information:</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Subject</w:t>
            </w:r>
          </w:p>
        </w:tc>
        <w:tc>
          <w:tcPr>
            <w:tcW w:w="14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Outstanding</w:t>
            </w:r>
          </w:p>
        </w:tc>
        <w:tc>
          <w:tcPr>
            <w:tcW w:w="14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8,676,329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100,057</w:t>
            </w: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1,883,951</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(284,373)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(107,374)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10,168,533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Exercisable</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40" w:type="dxa"/>
            <w:vAlign w:val="bottom"/>
            <w:vMerge w:val="restart"/>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0" w:type="dxa"/>
            <w:vAlign w:val="bottom"/>
          </w:tcPr>
          <w:p>
            <w:pPr>
              <w:spacing w:after="0" w:line="20" w:lineRule="exact"/>
              <w:rPr>
                <w:sz w:val="1"/>
                <w:szCs w:val="1"/>
                <w:color w:val="auto"/>
              </w:rPr>
            </w:pPr>
          </w:p>
        </w:tc>
      </w:tr>
      <w:tr>
        <w:trPr>
          <w:trHeight w:val="215"/>
        </w:trPr>
        <w:tc>
          <w:tcPr>
            <w:tcW w:w="448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6,202,735</w:t>
            </w: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We calculate the intrinsic value as the difference between the exercise price of the options and the closing price of common stock of $27.37 per share as of June 30, 2022.</w:t>
      </w:r>
    </w:p>
    <w:p>
      <w:pPr>
        <w:spacing w:after="0" w:line="162"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six-month periods ended June 30, 2022 and 2021 were $15.64 and $22.54 per share, respectively. There were 1,488,576 options granted during the six-month period ended June 30, 2021. We estimated the fair value of each stock option using the Black-Scholes option-pricing model based on the date of grant of such stock option with the following weighted average assumptions for the three and six months ended June 30, 2022 and 2021:</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5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17"/>
        </w:trPr>
        <w:tc>
          <w:tcPr>
            <w:tcW w:w="3740" w:type="dxa"/>
            <w:vAlign w:val="bottom"/>
          </w:tcPr>
          <w:p>
            <w:pPr>
              <w:spacing w:after="0"/>
              <w:rPr>
                <w:sz w:val="10"/>
                <w:szCs w:val="10"/>
                <w:color w:val="auto"/>
              </w:rPr>
            </w:pPr>
          </w:p>
        </w:tc>
        <w:tc>
          <w:tcPr>
            <w:tcW w:w="212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60" w:type="dxa"/>
            <w:vAlign w:val="bottom"/>
          </w:tcPr>
          <w:p>
            <w:pPr>
              <w:spacing w:after="0"/>
              <w:rPr>
                <w:sz w:val="10"/>
                <w:szCs w:val="10"/>
                <w:color w:val="auto"/>
              </w:rPr>
            </w:pPr>
          </w:p>
        </w:tc>
        <w:tc>
          <w:tcPr>
            <w:tcW w:w="216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440" w:type="dxa"/>
            <w:vAlign w:val="bottom"/>
          </w:tcPr>
          <w:p>
            <w:pPr>
              <w:spacing w:after="0"/>
              <w:rPr>
                <w:sz w:val="10"/>
                <w:szCs w:val="10"/>
                <w:color w:val="auto"/>
              </w:rPr>
            </w:pPr>
          </w:p>
        </w:tc>
      </w:tr>
      <w:tr>
        <w:trPr>
          <w:trHeight w:val="173"/>
        </w:trPr>
        <w:tc>
          <w:tcPr>
            <w:tcW w:w="3740" w:type="dxa"/>
            <w:vAlign w:val="bottom"/>
          </w:tcPr>
          <w:p>
            <w:pPr>
              <w:spacing w:after="0"/>
              <w:rPr>
                <w:sz w:val="15"/>
                <w:szCs w:val="15"/>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53.1 %</w:t>
            </w:r>
          </w:p>
        </w:tc>
        <w:tc>
          <w:tcPr>
            <w:tcW w:w="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55.3 %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53.0 %</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55.6 %</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3.13 %</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1.03 %</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1.02 %</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387"/>
        </w:trPr>
        <w:tc>
          <w:tcPr>
            <w:tcW w:w="3740" w:type="dxa"/>
            <w:vAlign w:val="bottom"/>
          </w:tcPr>
          <w:p>
            <w:pPr>
              <w:spacing w:after="0"/>
              <w:rPr>
                <w:sz w:val="24"/>
                <w:szCs w:val="24"/>
                <w:color w:val="auto"/>
              </w:rPr>
            </w:pPr>
          </w:p>
        </w:tc>
        <w:tc>
          <w:tcPr>
            <w:tcW w:w="1260" w:type="dxa"/>
            <w:vAlign w:val="bottom"/>
            <w:tcBorders>
              <w:bottom w:val="single" w:sz="8" w:color="auto"/>
            </w:tcBorders>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w w:val="99"/>
              </w:rPr>
              <w:t>ESPP</w:t>
            </w:r>
          </w:p>
        </w:tc>
        <w:tc>
          <w:tcPr>
            <w:tcW w:w="8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Borders>
              <w:bottom w:val="single" w:sz="8" w:color="auto"/>
            </w:tcBorders>
            <w:gridSpan w:val="3"/>
          </w:tcPr>
          <w:p>
            <w:pPr>
              <w:jc w:val="center"/>
              <w:ind w:left="740"/>
              <w:spacing w:after="0"/>
              <w:rPr>
                <w:sz w:val="20"/>
                <w:szCs w:val="20"/>
                <w:color w:val="auto"/>
              </w:rPr>
            </w:pPr>
            <w:r>
              <w:rPr>
                <w:rFonts w:ascii="Times New Roman" w:cs="Times New Roman" w:eastAsia="Times New Roman" w:hAnsi="Times New Roman"/>
                <w:sz w:val="14"/>
                <w:szCs w:val="14"/>
                <w:b w:val="1"/>
                <w:bCs w:val="1"/>
                <w:color w:val="auto"/>
                <w:w w:val="99"/>
              </w:rPr>
              <w:t>ESPP</w:t>
            </w:r>
          </w:p>
        </w:tc>
        <w:tc>
          <w:tcPr>
            <w:tcW w:w="8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117"/>
        </w:trPr>
        <w:tc>
          <w:tcPr>
            <w:tcW w:w="3740" w:type="dxa"/>
            <w:vAlign w:val="bottom"/>
          </w:tcPr>
          <w:p>
            <w:pPr>
              <w:spacing w:after="0"/>
              <w:rPr>
                <w:sz w:val="10"/>
                <w:szCs w:val="10"/>
                <w:color w:val="auto"/>
              </w:rPr>
            </w:pPr>
          </w:p>
        </w:tc>
        <w:tc>
          <w:tcPr>
            <w:tcW w:w="212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60" w:type="dxa"/>
            <w:vAlign w:val="bottom"/>
          </w:tcPr>
          <w:p>
            <w:pPr>
              <w:spacing w:after="0"/>
              <w:rPr>
                <w:sz w:val="10"/>
                <w:szCs w:val="10"/>
                <w:color w:val="auto"/>
              </w:rPr>
            </w:pPr>
          </w:p>
        </w:tc>
        <w:tc>
          <w:tcPr>
            <w:tcW w:w="21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440" w:type="dxa"/>
            <w:vAlign w:val="bottom"/>
          </w:tcPr>
          <w:p>
            <w:pPr>
              <w:spacing w:after="0"/>
              <w:rPr>
                <w:sz w:val="10"/>
                <w:szCs w:val="10"/>
                <w:color w:val="auto"/>
              </w:rPr>
            </w:pPr>
          </w:p>
        </w:tc>
      </w:tr>
      <w:tr>
        <w:trPr>
          <w:trHeight w:val="173"/>
        </w:trPr>
        <w:tc>
          <w:tcPr>
            <w:tcW w:w="3740" w:type="dxa"/>
            <w:vAlign w:val="bottom"/>
          </w:tcPr>
          <w:p>
            <w:pPr>
              <w:spacing w:after="0"/>
              <w:rPr>
                <w:sz w:val="15"/>
                <w:szCs w:val="15"/>
                <w:color w:val="auto"/>
              </w:rPr>
            </w:pPr>
          </w:p>
        </w:tc>
        <w:tc>
          <w:tcPr>
            <w:tcW w:w="25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4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43.2 - 55.7 %</w:t>
            </w:r>
          </w:p>
        </w:tc>
        <w:tc>
          <w:tcPr>
            <w:tcW w:w="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46.1 - 66.4 %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43.2 - 55.7 %</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46.1 - 66.4 %</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0.13 - 2.82 %</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0.04 - 1.65 %</w:t>
            </w:r>
          </w:p>
        </w:tc>
        <w:tc>
          <w:tcPr>
            <w:tcW w:w="26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0.13 - 2.82 %   0.04 - 1.65 %</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the unamortized compensation expense related to unvested stock options was $66.5 million. The remaining unamortized compensation expense will be recognized over the next 2.7 years. As of June 30, 2022, the unamortized compensation expense under our ESPP was $1.8 million. The remaining unamortized expense will be recognized over the next 1.4 years.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six-month period ended June 30,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at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826,148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at June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unamortized compensation expense related to unvested RSUs was $36.9 million. The remaining unamortized expense will be recognized over the next 2.2 years.</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office and laboratory space in Monrovia, California under a lease that expires in December 2025 with an option to renew for an additional five years at then market rates. The Company has assessed that it is unlikely to exercise the option to extend the lease term. In July 2017, under a separate agreement, the Company entered into a lease for additional space in the same building with a lease that continues through September 2022. The lease contained an option to renew for additional lease term and the option period has lapsed.</w:t>
      </w:r>
    </w:p>
    <w:p>
      <w:pPr>
        <w:spacing w:after="0" w:line="183"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an Agreement of Lease (Lease Agreement) for laboratory and office space in Pasadena, California, which will expire in July 2035. The Lease Agreement provides for two separate phases of lease and occupancy. The first phase commences on August 1, 2022 and provides the Company with an improvement allowance up to $17.0 million. The second phase of the lease agreement will commence no later than September 30, 2026 and includes an additional improvement allowance up to $3.3 million.</w:t>
      </w:r>
    </w:p>
    <w:p>
      <w:pPr>
        <w:spacing w:after="0" w:line="183" w:lineRule="exact"/>
        <w:rPr>
          <w:sz w:val="20"/>
          <w:szCs w:val="20"/>
          <w:color w:val="auto"/>
        </w:rPr>
      </w:pPr>
    </w:p>
    <w:p>
      <w:pPr>
        <w:ind w:left="40" w:right="139" w:firstLine="648"/>
        <w:spacing w:after="0" w:line="281" w:lineRule="auto"/>
        <w:rPr>
          <w:sz w:val="20"/>
          <w:szCs w:val="20"/>
          <w:color w:val="auto"/>
        </w:rPr>
      </w:pPr>
      <w:r>
        <w:rPr>
          <w:rFonts w:ascii="Times New Roman" w:cs="Times New Roman" w:eastAsia="Times New Roman" w:hAnsi="Times New Roman"/>
          <w:sz w:val="18"/>
          <w:szCs w:val="18"/>
          <w:color w:val="auto"/>
        </w:rPr>
        <w:t>The Company leases additional office space in San Diego, California through August 2022. In May 2022, the Company extended the term of the lease through December 2023. For the three and six months ended June 30, 2022, ROU assets obtained in exchange for new operating lease liabilities are $1.5 million.</w:t>
      </w:r>
    </w:p>
    <w:p>
      <w:pPr>
        <w:spacing w:after="0" w:line="164"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additional office space in Monrovia, California under a lease that extends through January 2023, with an option to extend for an additional two years. The Company has assessed that it is unlikely to exercise the option to extend the lease term.</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lease agreements do not contain any residual value guarantees or restrictive covenants.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operating leases at June 30, 2022 to the operating lease liabilities recorded on the balance sheet (in thousands):</w:t>
      </w:r>
    </w:p>
    <w:p>
      <w:pPr>
        <w:sectPr>
          <w:pgSz w:w="11900" w:h="16838" w:orient="portrait"/>
          <w:cols w:equalWidth="0" w:num="1">
            <w:col w:w="9019"/>
          </w:cols>
          <w:pgMar w:left="1440" w:top="513" w:right="1440"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remainder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2023</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Total undiscounted lease payments</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Tenant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Present value of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liabilities -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liabilities - long-term</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34"/>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46,685</w:t>
            </w:r>
          </w:p>
        </w:tc>
      </w:tr>
      <w:tr>
        <w:trPr>
          <w:trHeight w:val="21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76,795</w:t>
            </w:r>
          </w:p>
        </w:tc>
      </w:tr>
      <w:tr>
        <w:trPr>
          <w:trHeight w:val="23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34"/>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209"/>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41,590</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35"/>
        </w:trPr>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r>
      <w:tr>
        <w:trPr>
          <w:trHeight w:val="234"/>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33,943</w:t>
            </w:r>
          </w:p>
        </w:tc>
      </w:tr>
      <w:tr>
        <w:trPr>
          <w:trHeight w:val="209"/>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41,590</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5740" w:space="720"/>
            <w:col w:w="2559"/>
          </w:cols>
          <w:pgMar w:left="1440" w:top="513" w:right="1440" w:bottom="1440" w:gutter="0" w:footer="0" w:header="0"/>
          <w:type w:val="continuous"/>
        </w:sect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lease costs and cash payments for the three and six months ended June 30, 2022 and 2021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costs</w:t>
            </w: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w:t>
            </w: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measurement of lease liabilities</w:t>
            </w: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weighted-average remaining lease term for operating leases is 12.0 years, and the weighted-average discount rate for operating leases is 6.0%. As of June 30, 2021, the weighted-average remaining lease term for operating leases is 3.1 years, and the weighted-average discount rate for operating leases is 4.0%.</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litigation and related matters arising in the ordinary course of business. The Company does not believe it is currently subject to any material matters where there is at least a reasonable possibility that a material loss may be incurred.</w:t>
      </w:r>
    </w:p>
    <w:p>
      <w:pPr>
        <w:spacing w:after="0" w:line="176"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future payments to third parties under in 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the Company’s balance sheet. The Company has also entered into agreements with third-party vendors that will require us to make future payments upon the delivery of goods and services in future periods.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Collaboration and Licensing Agreements</w:t>
      </w:r>
    </w:p>
    <w:p>
      <w:pPr>
        <w:spacing w:after="0" w:line="229" w:lineRule="exact"/>
        <w:rPr>
          <w:sz w:val="20"/>
          <w:szCs w:val="20"/>
          <w:color w:val="auto"/>
        </w:rPr>
      </w:pPr>
    </w:p>
    <w:p>
      <w:pPr>
        <w:ind w:left="40" w:right="63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description of the material revenue arrangements, including arrangements that generated revenue in the three and six months ended June 30, 2022 and 2021.</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Alexion Pharmaceuticals, Inc.</w:t>
      </w:r>
    </w:p>
    <w:p>
      <w:pPr>
        <w:spacing w:after="0" w:line="229"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In January 2013, the Company entered into an Option and License Agreement (the Alexion Agreement) with Alexion Pharmaceuticals, Inc. (Alexion). Under the terms of the Alexion Agreement, the Company granted to Alexion an exclusive research license, with limited sublicensing rights, to make and use the Company’s Xtend technology to evaluate and advance compounds. Alexion exercised its rights to one target program, ALXN1210, which is now marketed as Ultomiris®.</w:t>
      </w:r>
    </w:p>
    <w:p>
      <w:pPr>
        <w:spacing w:after="0" w:line="183"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is eligible to receive a contractual milestone for certain commercial achievements and is also entitled to receive royalties based on a percentage of net sales of Ultomiris sold by Alexion, its affiliates or its sublicensees, which percentage is in the low single digits. Alexion’s royalty obligations continue on a product-by-product and country-by-country basis until the expiration of the last-to-expire valid claim in a licensed patent covering the applicable product in such country.</w:t>
      </w:r>
    </w:p>
    <w:p>
      <w:pPr>
        <w:spacing w:after="0" w:line="181" w:lineRule="exact"/>
        <w:rPr>
          <w:sz w:val="20"/>
          <w:szCs w:val="20"/>
          <w:color w:val="auto"/>
        </w:rPr>
      </w:pPr>
    </w:p>
    <w:p>
      <w:pPr>
        <w:ind w:left="40" w:right="79" w:firstLine="648"/>
        <w:spacing w:after="0" w:line="257"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for sales-based royalties upon the subsequent sale of the product. The Company recognized $6.7 million and $5.2 million of royalty revenue under this arrangement for the three months ended June 30, 2022 and 2021, respectively. The Company recognized $12.9 million and $10.5 million of royalty revenue under this arrangement for the six months ended June 30, 2022 and 2021, respectively. As of June 30, 2022, there is a receivable of $12.0 million related to royalties due under the arrangement, and there is no deferred revenue related to this agreement.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In September 2015, the Company entered into a research and license agreement (the Amgen Agreement) with Amgen Inc. (Amgen) to develop and commercialize bispecific antibody product candidates using the Company’s proprietary XmAb bispecific Fc technology. Under the Amgen Agreement, Amgen applied our bispecific Fc technology to create AMG 509, a STEAP1 x CD3 XmAb 2+1 bispecific antibody, which is currently being developed by Amgen in a Phase 1 study.</w:t>
      </w:r>
    </w:p>
    <w:p>
      <w:pPr>
        <w:spacing w:after="0" w:line="183"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No revenue was recognized under the Amgen Agreement during the three and six months ended June 30, 2022 or 2021, and there is no deferred revenue related to the arrangement.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22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Effective March 29, 2019, the Company entered into a Research and License Agreement (the Astellas Agreement) with Astellas Pharma Inc. (Astellas).</w:t>
      </w:r>
    </w:p>
    <w:p>
      <w:pPr>
        <w:spacing w:after="0" w:line="162"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Pursuant to the Astellas Agreement, the Company applied its bispecific Fc technology to research antibodies provided by Astellas to generate bispecific antibody candidates and returned the candidates to Astellas for further development and commercialization.</w:t>
      </w:r>
    </w:p>
    <w:p>
      <w:pPr>
        <w:spacing w:after="0" w:line="176"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Under the Astellas Agreement, Astellas developed ASP2138, a CLDN18.2 x CD3 bispecific antibody, which is currently being developed by Astellas in a Phase 1 study.</w:t>
      </w:r>
    </w:p>
    <w:p>
      <w:pPr>
        <w:spacing w:after="0" w:line="162"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At March 31, 2022, the Company recorded a contract asset of $5.0 million related to a future development milestone under the Astellas Agreement. In June 2022, Astellas achieved the development milestone, and the Company recorded a receivable of $5.0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$5.0 million of revenue for the six months ended June 30, 2022; no revenue was recognized related to the arrangement for the three months ended June 30, 2022, and 2021, or the six months ended June 30, 2021. As of June 30, 2022, there is a receivable of $5.0 million, and there is no deferred revenue related to the arrangement.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Astria Therapeutics, Inc.</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May 2018, the Company entered into an agreement with Quellis, pursuant to which the Company provided Quellis a non-exclusive license to its Xtend Fc technology to apply to an identified antibody. Quellis is responsible for all development and commercialization activities. The Company received an equity interest in Quellis and is eligible to receive development, regulatory and sales milestones, and royalties in the mid-single digit percentage range on net sales of approved products.</w:t>
      </w:r>
    </w:p>
    <w:p>
      <w:pPr>
        <w:spacing w:after="0" w:line="183" w:lineRule="exact"/>
        <w:rPr>
          <w:sz w:val="20"/>
          <w:szCs w:val="20"/>
          <w:color w:val="auto"/>
        </w:rPr>
      </w:pPr>
    </w:p>
    <w:p>
      <w:pPr>
        <w:ind w:left="40" w:right="79" w:firstLine="693"/>
        <w:spacing w:after="0" w:line="258" w:lineRule="auto"/>
        <w:rPr>
          <w:sz w:val="20"/>
          <w:szCs w:val="20"/>
          <w:color w:val="auto"/>
        </w:rPr>
      </w:pPr>
      <w:r>
        <w:rPr>
          <w:rFonts w:ascii="Times New Roman" w:cs="Times New Roman" w:eastAsia="Times New Roman" w:hAnsi="Times New Roman"/>
          <w:sz w:val="18"/>
          <w:szCs w:val="18"/>
          <w:color w:val="auto"/>
        </w:rPr>
        <w:t>In January 2021, Quellis merged into Astria (formerly Catabasis), and the Company received common stock and preferred stock of Astria in exchange for its equity in Quellis. The Company recognized an increase in the fair value of its equity interest for the exchange of shares, which was recorded as unrealized gain for the three months ended June 30, 2021. The Astria preferred stock is carried at its original cost and is reviewed for impairment or other changes at each reporting period.</w:t>
      </w:r>
    </w:p>
    <w:p>
      <w:pPr>
        <w:spacing w:after="0" w:line="183" w:lineRule="exact"/>
        <w:rPr>
          <w:sz w:val="20"/>
          <w:szCs w:val="20"/>
          <w:color w:val="auto"/>
        </w:rPr>
      </w:pPr>
    </w:p>
    <w:p>
      <w:pPr>
        <w:jc w:val="both"/>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an unrealized loss of $2.4 million and $1.5 million related to its equity interest in Astria for the three and six months ended June 30, 2022, respectively. The Company recognized an unrealized loss of $3.7 million and unrealized gain of $9.2 million related to its equity interest in Astria for the three and six months ended June 30, 2021, respectively. There is no deferred revenue as of June 30, 2022 related to this agreement.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Genentech, Inc., and F. Hoffmann-La Roche Ltd</w:t>
      </w:r>
    </w:p>
    <w:p>
      <w:pPr>
        <w:spacing w:after="0" w:line="22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 collaboration and license agreement (the Genentech Agreement) with Genentech, Inc. and F. Hoffmann-La Roche Ltd (collectively, Genentech) for the development and commercialization of novel IL-15 collaboration products (Collaboration Products), including XmAb306 (also named RG6323), the Company’s IL-15/IL-15Ra candidate.</w:t>
      </w:r>
    </w:p>
    <w:p>
      <w:pPr>
        <w:spacing w:after="0" w:line="180"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Pursuant to the Genentech Agreement, XmAb306 is designated as a development program and all costs incurred for developing XmAb306 from March 8, 2019, the effective date of the Genentech Agreement, are being shared with Genentech under the initial cost-sharing percentage of 45%.</w:t>
      </w:r>
    </w:p>
    <w:p>
      <w:pPr>
        <w:spacing w:after="0" w:line="176"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Pursuant to the Genentech Agreement, the Company and Genentech conducted joint research activities for a two-year period to identify and discover additional IL-15 candidates developed from the Company’s cytokine and bispecific technologies. The two-year research term expired in March 2021. The Company is eligible for clinical milestone payments for new Collaboration Products identified from the research efforts.</w:t>
      </w:r>
    </w:p>
    <w:p>
      <w:pPr>
        <w:spacing w:after="0" w:line="180"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recognize revenue related to the Genentech Agreement for the three and six months ended June 30, 2022. For the three and six months ended June 30, 2021, the Company recognized $2.3 million and $2.5 million of revenue, respectively. As of June 30, 2022, there is a $3.5 million payable related to cost-sharing development activities during the second quarter of 2022 for development studies being conducted under the Genentech Agreement. There is no deferred revenue as of June 30, 2022, as obligations to perform research activities have expired.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INmune Bio, Inc.</w:t>
      </w:r>
    </w:p>
    <w:p>
      <w:pPr>
        <w:spacing w:after="0" w:line="229" w:lineRule="exact"/>
        <w:rPr>
          <w:sz w:val="20"/>
          <w:szCs w:val="20"/>
          <w:color w:val="auto"/>
        </w:rPr>
      </w:pPr>
    </w:p>
    <w:p>
      <w:pPr>
        <w:ind w:left="40" w:right="119" w:firstLine="648"/>
        <w:spacing w:after="0" w:line="289" w:lineRule="auto"/>
        <w:rPr>
          <w:sz w:val="20"/>
          <w:szCs w:val="20"/>
          <w:color w:val="auto"/>
        </w:rPr>
      </w:pPr>
      <w:r>
        <w:rPr>
          <w:rFonts w:ascii="Times New Roman" w:cs="Times New Roman" w:eastAsia="Times New Roman" w:hAnsi="Times New Roman"/>
          <w:sz w:val="17"/>
          <w:szCs w:val="17"/>
          <w:color w:val="auto"/>
        </w:rPr>
        <w:t>In October 2017, the Company entered into a License Agreement (the INmune Agreement) with INmune. Under the terms of the INmune Agreement, the Company provided INmune with an exclusive license to certain rights to a proprietary protein, XPro1595. In connection with the agreement, the Company received shares of INmune common stock.</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2021, the Company determined that it should no longer record its investment in INmune under the equity method and recorded its investment in INmune pursuant to ASC 321.</w:t>
      </w:r>
    </w:p>
    <w:p>
      <w:pPr>
        <w:spacing w:after="0" w:line="162"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recorded $0.8 million of unrealized gain and $2.6 million of unrealized loss, respectively, related to its investment in INmune. For the three and six months ended June 30, 2021, the Company recognized an unrealized gain of $27.9 million and a realized gain of $18.3 million.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Janssen Biotech, Inc.</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Janssen Agreement</w:t>
      </w:r>
    </w:p>
    <w:p>
      <w:pPr>
        <w:spacing w:after="0" w:line="227" w:lineRule="exact"/>
        <w:rPr>
          <w:sz w:val="20"/>
          <w:szCs w:val="20"/>
          <w:color w:val="auto"/>
        </w:rPr>
      </w:pPr>
    </w:p>
    <w:p>
      <w:pPr>
        <w:ind w:left="40" w:right="279" w:firstLine="648"/>
        <w:spacing w:after="0" w:line="281" w:lineRule="auto"/>
        <w:rPr>
          <w:sz w:val="20"/>
          <w:szCs w:val="20"/>
          <w:color w:val="auto"/>
        </w:rPr>
      </w:pPr>
      <w:r>
        <w:rPr>
          <w:rFonts w:ascii="Times New Roman" w:cs="Times New Roman" w:eastAsia="Times New Roman" w:hAnsi="Times New Roman"/>
          <w:sz w:val="17"/>
          <w:szCs w:val="17"/>
          <w:color w:val="auto"/>
        </w:rPr>
        <w:t>In November 2020, the Company entered into a Collaboration and License Agreement (the Janssen Agreement) with Janssen Biotech, Inc. (Janssen) pursuant to which the Company and Janssen conducted research and development activities to discover novel CD28 bispecific antibodies for the treatment of prostate cancer with Janssen maintaining exclusive worldwide rights to develop and commercialize licensed products identified from the research activities.</w:t>
      </w:r>
    </w:p>
    <w:p>
      <w:pPr>
        <w:spacing w:after="0" w:line="164"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Under the Janssen Agreement, the Company conducted research activities and applied its bispecific Fc technology to antibodies targeting prostate cancer provided by Janssen. Upon completion of the research activities Janssen had a candidate selection option to advance an identified candidate for development and commercialization. In November 2021, the Company completed its performance obligations under the research activities and delivered CD28 bispecific antibodies to Janssen, and Janssen exercised its candidate selection option to select a bispecific CD28 antibody for further development. Janssen will assume full responsibility for development and commercialization of the CD28 bispecific antibody candidate.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Second Janssen Agreement</w:t>
      </w:r>
    </w:p>
    <w:p>
      <w:pPr>
        <w:spacing w:after="0" w:line="22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On October 1, 2021, the Company entered into a second Collaboration and License Agreement (the Second Janssen Agreement) with Janssen pursuant to which the Company granted Janssen an exclusive worldwide license to develop, manufacture, and commercialize plamotamab, the Company’s CD20 x CD3 development candidate, and pursuant to which Xencor and Janssen will conduct research and development activities to discover novel CD28 bispecific antibodies. The parties will conduct joint research activities for up to a two-year period to discover XmAb bispecific antibodies against CD28 and undisclosed B cell tumor-targets with Janssen receiving exclusive worldwide rights, subject to certain Xencor opt-in rights, to develop, manufacture and commercialize pharmaceutical products that contain one or more of such discovered antibodies (CD28 Licensed Antibodies). The Agreement became effective on November 5, 2021.</w:t>
      </w:r>
    </w:p>
    <w:p>
      <w:pPr>
        <w:spacing w:after="0" w:line="192"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Pursuant to the Second Janssen Agreement, the Company received an upfront payment of $100.0 million and is eligible to receive up to $1,187.5 million in milestones which include $289.4 million in development milestones, $378.1 million in regulatory milestones and $520.0 million in sales milestones. Under the terms of the Stock Purchase Agreement, Johnson &amp; Johnson Innovation, JJDC, Inc. (JJDC), agreed to purchase $25.0 million of newly issued unregistered shares of the Company’s common stock, priced at a 30-day volume-weighted average price of $33.4197 per share as of October 1, 2021. The Company issued JJDC 748,062 shares of its common stock which had a fair market value of $28.9 million when the shares were transferred.</w:t>
      </w:r>
    </w:p>
    <w:p>
      <w:pPr>
        <w:spacing w:after="0" w:line="189" w:lineRule="exact"/>
        <w:rPr>
          <w:sz w:val="20"/>
          <w:szCs w:val="20"/>
          <w:color w:val="auto"/>
        </w:rPr>
      </w:pPr>
    </w:p>
    <w:p>
      <w:pPr>
        <w:ind w:left="40" w:right="479"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collaborate with Janssen on further clinical development of plamotamab with Janssen and share development costs with Janssen paying 80% and the Company paying 20% of certain development costs.</w:t>
      </w:r>
    </w:p>
    <w:p>
      <w:pPr>
        <w:spacing w:after="0" w:line="162"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The Company is generally responsible for conducting research activities under the Second Janssen Agreement, and Janssen is generally responsible for all development, manufacturing, and commercialization activities for CD28 Licensed Antibodies that are advanced.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There is a receivable of $4.6 million as of June 30, 2022, related to cost-sharing activities for development of plamotamab under the Second Janssen Agreement. The Company recognized $0.2 million and $16.2 million of revenue related to the two Janssen agreements for the three months ended June 30, 2022 and 2021, respectively. The Company recognized $2.0 million and $30.8 million of revenue related to the two Janssen agreements for the six months ended June 30, 2022, and 2021, respectively, and there is $35.3 million in deferred revenue as of June 30, 2022 related to the Second Janssen Agreement.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MorphoSys AG</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In June 2010, the Company entered into a Collaboration and License Agreement with MorphoSys AG (MorphoSys), which was subsequently amended. Under the agreement, we granted MorphoSys an exclusive worldwide license to the Company’s patents and know-how to research, develop and commercialize the XmAb5574 product candidate (subsequently renamed MOR208 and tafasitamab) with the right to sublicense under certain conditions. If certain developmental, regulatory and sales milestones are achieved, the Company is eligible to receive future milestone payments and royalties.</w:t>
      </w:r>
    </w:p>
    <w:p>
      <w:pPr>
        <w:spacing w:after="0" w:line="187"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$1.2 million of royalty revenue during each of the three months ended June 30, 2022 and 2021. The Company recognized $3.5 million and $15.1 million of revenue during the six months ended June 30, 2022 and 2021, respectively. As of June 30, 2022, there is a receivable of $1.8 million related to estimated royalties due under the arrangement. As of June 30, 2022, there is no deferred revenue related to this agreement.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Novartis Institute for Biomedical Research, Inc.</w:t>
      </w:r>
    </w:p>
    <w:p>
      <w:pPr>
        <w:spacing w:after="0" w:line="229"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In June 2016, the Company entered into a Collaboration and License Agreement (the Novartis Agreement) with Novartis Institutes for BioMedical Research, Inc. (Novartis) to develop and commercialize bispecific and other Fc engineered antibody drug candidates using the Company’s proprietary XmAb technologies and drug candidates.</w:t>
      </w:r>
    </w:p>
    <w:p>
      <w:pPr>
        <w:spacing w:after="0" w:line="176"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Pursuant to the Novartis Agreement, the Company and Novartis were co-developing vibecotamab worldwide and sharing development costs. In August 2021, Novartis notified the Company it was terminating its rights with respect to the vibecotamab program, which became effective in February 2022. Under the Novartis Agreement, Novartis is responsible for its share of vibecotamab development costs through February 2023.</w:t>
      </w:r>
    </w:p>
    <w:p>
      <w:pPr>
        <w:spacing w:after="0" w:line="72" w:lineRule="exact"/>
        <w:rPr>
          <w:sz w:val="20"/>
          <w:szCs w:val="20"/>
          <w:color w:val="auto"/>
        </w:rPr>
      </w:pPr>
    </w:p>
    <w:p>
      <w:pPr>
        <w:ind w:left="40" w:right="419" w:firstLine="648"/>
        <w:spacing w:after="0" w:line="261" w:lineRule="auto"/>
        <w:rPr>
          <w:sz w:val="20"/>
          <w:szCs w:val="20"/>
          <w:color w:val="auto"/>
        </w:rPr>
      </w:pPr>
      <w:r>
        <w:rPr>
          <w:rFonts w:ascii="Times New Roman" w:cs="Times New Roman" w:eastAsia="Times New Roman" w:hAnsi="Times New Roman"/>
          <w:sz w:val="18"/>
          <w:szCs w:val="18"/>
          <w:color w:val="auto"/>
        </w:rPr>
        <w:t>In June 2021, Novartis selected an Fc candidate and received a non-exclusive license to the Company’s Fc technology. Novartis will assume full responsibility for development and commercialization of the licensed Fc product candidate. The Company is eligible to receive development, clinical, and sales milestones and royalties on net sales of approved products for the licensed Fc candidate.</w:t>
      </w:r>
    </w:p>
    <w:p>
      <w:pPr>
        <w:spacing w:after="0" w:line="180" w:lineRule="exact"/>
        <w:rPr>
          <w:sz w:val="20"/>
          <w:szCs w:val="20"/>
          <w:color w:val="auto"/>
        </w:rPr>
      </w:pPr>
    </w:p>
    <w:p>
      <w:pPr>
        <w:jc w:val="both"/>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No revenue was recognized during the three and six months ended June 30, 2022 from the Novartis Agreement. The Company recognized $41.1 million of revenue during the three and six months ended June 30, 2021. As of June 30, 2022, there is a receivable of $0.8 million related to cost-sharing of development activities for the second quarter of 2022 for the vibecotamab program, and there is no deferred revenue as of June 30, 2022.</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Vir Biotechnology, Inc.</w:t>
      </w:r>
    </w:p>
    <w:p>
      <w:pPr>
        <w:spacing w:after="0" w:line="229" w:lineRule="exact"/>
        <w:rPr>
          <w:sz w:val="20"/>
          <w:szCs w:val="20"/>
          <w:color w:val="auto"/>
        </w:rPr>
      </w:pPr>
    </w:p>
    <w:p>
      <w:pPr>
        <w:jc w:val="both"/>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2019, the Company entered into a Patent License Agreement (the Vir Agreement) with Vir Biotechnology, Inc. (Vir) pursuant to which the Company provided a non-exclusive license to its Xtend technology for up to two targets.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In March 2020, the Company entered into a second Patent License Agreement (the Second Vir Agreement) with Vir pursuant to which the Company provided a non-exclusive license to its Xtend technology to extend the half-life of two novel antibodies that Vir is investigating as potential treatments for patients with COVID-19. Under the terms of the Second Vir Agreement, Vir is responsible for all research, development, regulatory and commercial activities for the antibodies, and the Company is eligible to receive royalties on the net sales of approved products in the mid-single digit percentage range. In May 2021, the FDA granted emergency use authorization (EUA) to Vir’s COVID-19 antibody, sotrovimab (VIR-7831), for the treatment of mild-to-moderate COVID-19 in high-risk adults and patients.</w:t>
      </w:r>
    </w:p>
    <w:p>
      <w:pPr>
        <w:spacing w:after="0" w:line="189" w:lineRule="exact"/>
        <w:rPr>
          <w:sz w:val="20"/>
          <w:szCs w:val="20"/>
          <w:color w:val="auto"/>
        </w:rPr>
      </w:pPr>
    </w:p>
    <w:p>
      <w:pPr>
        <w:ind w:left="40" w:right="319" w:firstLine="648"/>
        <w:spacing w:after="0" w:line="256" w:lineRule="auto"/>
        <w:rPr>
          <w:sz w:val="20"/>
          <w:szCs w:val="20"/>
          <w:color w:val="auto"/>
        </w:rPr>
      </w:pPr>
      <w:r>
        <w:rPr>
          <w:rFonts w:ascii="Times New Roman" w:cs="Times New Roman" w:eastAsia="Times New Roman" w:hAnsi="Times New Roman"/>
          <w:sz w:val="18"/>
          <w:szCs w:val="18"/>
          <w:color w:val="auto"/>
        </w:rPr>
        <w:t>In February 2021, the Company entered into the Vir Amendment No. 1 to the Vir Agreement and the Vir Amendment No. 1 to the Second Vir Agreement (collectively, the Vir Amendments), in each case, pursuant to which the Company provided a non-exclusive license to additional Fc technology for the targets previously identified in the Vir Agreement and the Second Vir Agreement, respectively. If Vir incorporates additional Fc technologies in the identified targets, the Company is eligible to receive additional royalties on net sales of approved products from low to mid-single digit range.</w:t>
      </w:r>
    </w:p>
    <w:p>
      <w:pPr>
        <w:spacing w:after="0" w:line="187" w:lineRule="exact"/>
        <w:rPr>
          <w:sz w:val="20"/>
          <w:szCs w:val="20"/>
          <w:color w:val="auto"/>
        </w:rPr>
      </w:pPr>
    </w:p>
    <w:p>
      <w:pPr>
        <w:ind w:left="40" w:right="179" w:firstLine="648"/>
        <w:spacing w:after="0" w:line="281" w:lineRule="auto"/>
        <w:rPr>
          <w:sz w:val="20"/>
          <w:szCs w:val="20"/>
          <w:color w:val="auto"/>
        </w:rPr>
      </w:pPr>
      <w:r>
        <w:rPr>
          <w:rFonts w:ascii="Times New Roman" w:cs="Times New Roman" w:eastAsia="Times New Roman" w:hAnsi="Times New Roman"/>
          <w:sz w:val="17"/>
          <w:szCs w:val="17"/>
          <w:color w:val="auto"/>
        </w:rPr>
        <w:t>The Company recognized $22.1 million and $92.3 million of royalty revenue for the three and six months ended June 30, 2022, respectively. The Company recognized $0.9 million of royalty revenue and $0.5 million of milestone revenue for the three and six months ended June 30, 2021, respectively. As of June 30, 2022, there is a receivable of $22.1 million related to estimated royalty due under this agreement, and there is no deferred revenue related to this agreement.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Viridian Therapeutics, Inc.</w:t>
      </w:r>
    </w:p>
    <w:p>
      <w:pPr>
        <w:spacing w:after="0" w:line="229" w:lineRule="exact"/>
        <w:rPr>
          <w:sz w:val="20"/>
          <w:szCs w:val="20"/>
          <w:color w:val="auto"/>
        </w:rPr>
      </w:pPr>
    </w:p>
    <w:p>
      <w:pPr>
        <w:ind w:left="40" w:right="479" w:firstLine="648"/>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Technology License Agreement (Viridian Agreement) with Viridian, pursuant to which the Company provided Viridian a non-exclusive license to its Xtend Fc technology and an exclusive license to apply its Xtend Fc technology to antibodies targeting IGF-1R. Viridian is responsible for all development and commercialization activities. The Company received an upfront payment and is eligible to receive development, regulatory and sales milestones, and royalties on net sales in the mid-single digit percentage range.</w:t>
      </w:r>
    </w:p>
    <w:p>
      <w:pPr>
        <w:spacing w:after="0" w:line="183"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second Technology License Agreement (Second Viridian Agreement) with Viridian for a non-exclusive license to certain antibody libraries developed by the Company. Under the Second Viridian Agreement, Viridian received a one-year research license to review the antibodies and the right to select up to three antibodies for further development. Viridian is responsible for all further development of the selected antibodies. The Company received an upfront payment and is eligible to receive development, regulatory and sales milestones, in addition to royalties on net sales of approved products under the Second Viridian Agreement.</w:t>
      </w:r>
    </w:p>
    <w:p>
      <w:pPr>
        <w:spacing w:after="0" w:line="187"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Viridian Agreement and the Second Viridian Agreement, the Company received shares of Viridian common stock.</w:t>
      </w:r>
    </w:p>
    <w:p>
      <w:pPr>
        <w:spacing w:after="0" w:line="162"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reported unrealized loss in other income of $5.0 million and $5.9 million for the three and six months ended June 30, 2022 related to the shares of Viridian common stock. The Company reported unrealized gain in other income of $0.5 million and $0.6 million for the three and six months ended June 30, 2021 related to the Viridian common stock. The Company did not recognize revenue for the three and six months ended June 30, 2022 or 2021. There is no deferred revenue as of June 30, 2022 related to this agreement.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Zenas BioPharma Limited</w:t>
      </w:r>
    </w:p>
    <w:p>
      <w:pPr>
        <w:spacing w:after="0" w:line="229"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In November 2020, the Company entered into a License Agreement (the Zenas Agreement) with Zenas, pursuant to which the Company granted Zenas exclusive, worldwide rights to develop and commercialize three preclinical-stage Fc-engineered drug candidates: XmAb6755, XPro9523, and XmAb10171. Under the Zenas Agreement, Zenas will be responsible for all further development and commercialization activities for the drug candidates. The Company received a 15% equity interest in Zenas with a fair value of $16.1 million and is eligible to receive royalties on net sales of approved products in the mid-single digit to mid-teen percentage range.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59" w:firstLine="648"/>
        <w:spacing w:after="0" w:line="282" w:lineRule="auto"/>
        <w:rPr>
          <w:sz w:val="20"/>
          <w:szCs w:val="20"/>
          <w:color w:val="auto"/>
        </w:rPr>
      </w:pPr>
      <w:r>
        <w:rPr>
          <w:rFonts w:ascii="Times New Roman" w:cs="Times New Roman" w:eastAsia="Times New Roman" w:hAnsi="Times New Roman"/>
          <w:sz w:val="18"/>
          <w:szCs w:val="18"/>
          <w:color w:val="auto"/>
        </w:rPr>
        <w:t>The equity in Zenas is recorded at the fair value as of the date of the Zenas Agreement and is reviewed each reporting period for impairment or other evidence of change in value.</w:t>
      </w:r>
    </w:p>
    <w:p>
      <w:pPr>
        <w:spacing w:after="0" w:line="162" w:lineRule="exact"/>
        <w:rPr>
          <w:sz w:val="20"/>
          <w:szCs w:val="20"/>
          <w:color w:val="auto"/>
        </w:rPr>
      </w:pPr>
    </w:p>
    <w:p>
      <w:pPr>
        <w:ind w:left="40" w:right="239" w:firstLine="648"/>
        <w:spacing w:after="0" w:line="256" w:lineRule="auto"/>
        <w:rPr>
          <w:sz w:val="20"/>
          <w:szCs w:val="20"/>
          <w:color w:val="auto"/>
        </w:rPr>
      </w:pPr>
      <w:r>
        <w:rPr>
          <w:rFonts w:ascii="Times New Roman" w:cs="Times New Roman" w:eastAsia="Times New Roman" w:hAnsi="Times New Roman"/>
          <w:sz w:val="18"/>
          <w:szCs w:val="18"/>
          <w:color w:val="auto"/>
        </w:rPr>
        <w:t>In November 2021, the Company entered into a second License Agreement (Second Zenas Agreement) with Zenas, in which we licensed the exclusive worldwide rights to develop and commercialize the Company’s obexelimab (XmAb5871) drug candidate. Under the Second Zenas Agreement, Zenas will be responsible for all further development and commercialization activities for obexelimab. The Company received a warrant to acquire additional equity in Zenas and is eligible to receive development, regulatory and sales milestones, and royalties on net sales of approved products in the mid-single digit to mid-teen percentage range.</w:t>
      </w:r>
    </w:p>
    <w:p>
      <w:pPr>
        <w:spacing w:after="0" w:line="187"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warrant in Zenas is recorded at its fair value as of the date of the Second Zenas Agreement and is reviewed each reporting period for impairment or other evidence of change in value.</w:t>
      </w:r>
    </w:p>
    <w:p>
      <w:pPr>
        <w:spacing w:after="0" w:line="162"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record an impairment or change in the value of the Zenas equity or the warrant in Zenas in the three and six months ended June 30, 2022 or 2021. The Company did not recognize any revenue related to the Zenas Agreement for the three and six months ended June 30, 2022 or 2021, and there is no deferred revenue related to this agreement.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 earned</w:t>
      </w:r>
    </w:p>
    <w:p>
      <w:pPr>
        <w:spacing w:after="0" w:line="229"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revenues recorded for the three and six months ended June 30, 2022 and 2021 were earned principally from the following licensees (in millions):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Alexion</w:t>
            </w:r>
          </w:p>
        </w:tc>
        <w:tc>
          <w:tcPr>
            <w:tcW w:w="1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Astellas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Genentech</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Janssen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MorphoSys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Novartis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0" w:type="dxa"/>
            <w:vAlign w:val="bottom"/>
          </w:tcPr>
          <w:p>
            <w:pPr>
              <w:spacing w:after="0"/>
              <w:rPr>
                <w:sz w:val="24"/>
                <w:szCs w:val="24"/>
                <w:color w:val="auto"/>
              </w:rPr>
            </w:pPr>
          </w:p>
        </w:tc>
        <w:tc>
          <w:tcPr>
            <w:tcW w:w="8900" w:type="dxa"/>
            <w:vAlign w:val="bottom"/>
            <w:gridSpan w:val="14"/>
          </w:tcPr>
          <w:p>
            <w:pPr>
              <w:jc w:val="right"/>
              <w:ind w:right="91"/>
              <w:spacing w:after="0"/>
              <w:rPr>
                <w:sz w:val="20"/>
                <w:szCs w:val="20"/>
                <w:color w:val="auto"/>
              </w:rPr>
            </w:pPr>
            <w:r>
              <w:rPr>
                <w:rFonts w:ascii="Times New Roman" w:cs="Times New Roman" w:eastAsia="Times New Roman" w:hAnsi="Times New Roman"/>
                <w:sz w:val="18"/>
                <w:szCs w:val="18"/>
                <w:color w:val="auto"/>
              </w:rPr>
              <w:t>The table below summarizes the disaggregation of revenue recorded for the three and six months ended June 30,</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and 2021 (in millions):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collaboration</w:t>
            </w:r>
          </w:p>
        </w:tc>
        <w:tc>
          <w:tcPr>
            <w:tcW w:w="1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Milestone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Remaining Performance Obligations and Deferred Revenue</w:t>
      </w:r>
    </w:p>
    <w:p>
      <w:pPr>
        <w:spacing w:after="0" w:line="229"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The Company’s remaining performance obligation as of June 30, 2022 is conducting research activities pursuant to research plans under the Second Janssen Agreement. The Company’s obligation to perform research services under the Genentech and the Novartis Agreements ended upon expiration of the respective research terms for each agreement in the second quarter of 2021. As of June 30, 2022 and 2021, the Company has deferred revenue of $35.3 million and $19.2 million, respectively. All deferred revenue as of June 30, 2022 is classified as current liabilities as the Company’s obligations to perform services are due on demand when requested by Janssen under the Second Janssen Agreement.</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There was no provision for income taxes for the three and six months ended June 30, 2022 or 2021. Beginning in 2022, the Tax Cuts and Jobs Act (TCJA) requires taxpayers to capitalize certain research and development costs and amortize them over five or fifteen years pursuant to Internal Revenue Code Section 174. Previously, such costs could be deducted in the period they were incurred. This provision may increase our taxable income for the tax year ended December 31, 2022 and subsequent years, and result in additional cash payments for our federal income taxes. As of June 30, 2022, the Company’s deferred income tax assets, consisting primarily of net operating loss and tax credit carryforwards, have been fully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4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both of which are contained in our Annual Report on Form 10-K for the year ended December 31, 2021. See also “Special Note Regarding Forward-Looking Statements” included in this Quarterly Report on Form 10-Q.</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discovering and developing engineered monoclonal antibody and cytokine therapeutics to treat patients with cancer and autoimmune diseases who have unmet medical needs. We and our partners are advancing a broad portfolio of clinical-stage XmAb® drug candidates from our proprietary protein engineering and technology platforms. We also use our protein engineering capabilities to increase our understanding of protein structure and interactions to design new technologies and XmAb development candidates with improved properties. In addition to engineering protein-target interactions, our approach to protein design includes engineering Fc domains, the part of an antibody that interacts with multiple segments of the immune system and controls antibody structure. The Fc domain is constant and interchangeable among antibodies, and our engineered XmAb Fc domains can be readily substituted for natural Fc domains.</w:t>
      </w:r>
    </w:p>
    <w:p>
      <w:pPr>
        <w:spacing w:after="0" w:line="188"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Our protein engineering capabilities and Fc technologies enable us and our partners to develop XmAb antibodies and biotherapeutic drug candidates with improved properties and functionality, which can provide innovative approaches to treating disease and potential clinical advantage over other treatment options. For example, we have developed an antibody scaffold to rapidly create novel bispecific antibodies that bind two different targets simultaneously, creating entirely new biological mechanisms. Other applications of our protein engineering technologies enhance antibody performance by increasing immune inhibitory activity, improving cytotoxicity, extending circulating half-life and stabilizing novel protein structures, such as engineered cytokines. Three marketed XmAb medicines have been developed with our protein engineering technologies and are generating milestone payments and royalties for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Part I, Item 1, “XmAb Bispecific Fc Domain and New Multi-Specific Antibody Formats” and “Other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XmAb Fc Domains” in the description of our business included in our Annual Report on Form 10-K for the year ended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2021 for a discussion of our core Fc technology platforms.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left="40" w:right="99" w:firstLine="648"/>
        <w:spacing w:after="0" w:line="269" w:lineRule="auto"/>
        <w:rPr>
          <w:sz w:val="20"/>
          <w:szCs w:val="20"/>
          <w:color w:val="auto"/>
        </w:rPr>
      </w:pPr>
      <w:r>
        <w:rPr>
          <w:rFonts w:ascii="Times New Roman" w:cs="Times New Roman" w:eastAsia="Times New Roman" w:hAnsi="Times New Roman"/>
          <w:sz w:val="17"/>
          <w:szCs w:val="17"/>
          <w:color w:val="auto"/>
        </w:rPr>
        <w:t>We are closely monitoring the COVID-19 pandemic and continue to evaluate its impact on all aspects of our business including how it will affect our partners, collaborations, supply chains and research and development operations. While the pandemic did not significantly disrupt our business during the three and six months ended June 30, 2022, the evolving nature of the pandemic prevents us from reasonably predicting how the pandemic will affect our financial condition, results of operations and cash flows due to numerous uncertainties. These uncertainties include the scope, severity and duration of the pandemic, the actions taken to contain the pandemic or mitigate its impacts and the direct and indirect economic effects of the pandemic and containment measures, among others. Many states, including California, where we are headquartered and where our principal place of business is located, and cities therein have implemented restrictions, rules and guidelines that affect the continued operation of businesses. Other countries and states where we conduct manufacturing of our drug products, testing activities and clinical sites where patients are enrolled in our clinical trials have enacted similar restrictions that could affect our ability to conduct our drug development and clinical operations.</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potential impacts on our business, revenue, clinical studies and research and development activities of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COVID-19 pandemic include:</w:t>
      </w:r>
    </w:p>
    <w:p>
      <w:pPr>
        <w:spacing w:after="0" w:line="207" w:lineRule="exact"/>
        <w:rPr>
          <w:sz w:val="20"/>
          <w:szCs w:val="20"/>
          <w:color w:val="auto"/>
        </w:rPr>
      </w:pPr>
    </w:p>
    <w:p>
      <w:pPr>
        <w:ind w:left="1040" w:right="59" w:hanging="321"/>
        <w:spacing w:after="0" w:line="253"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Our broad protein engineering capabilities and technologies are uniquely suited to provide us with opportunities to identify and enhance compounds that may target the novel coronavirus and potentially treat patients with COVID-19. For example, sotrovimab (VIR-7831), an antibody that targets the SARS-CoV-2 virus, received an EUA from the FDA for the treatment of mild-to-moderate COVID-19 in high-risk adults and pediatric patients. Due to the high frequency of the Omicron BA.2 subvariant, sotrovimab is not currently authorized in any U.S. region. Sotrovimab currently has EUA temporary authorization or marketing approval (under the brand name Xevudy®) in more than 40 countries. Sotrovimab incorporates our Xtend Fc technology for longer duration of action. We have licensed the use of our Xtend Fc domain to multiple partners who are incorporating it into their investigational antibodies targeting the SARS-CoV-2 virus, and we are eligible to receive royalties on net sales of these candidates.</w:t>
      </w:r>
    </w:p>
    <w:p>
      <w:pPr>
        <w:spacing w:after="0" w:line="194" w:lineRule="exact"/>
        <w:rPr>
          <w:rFonts w:ascii="Times New Roman" w:cs="Times New Roman" w:eastAsia="Times New Roman" w:hAnsi="Times New Roman"/>
          <w:sz w:val="18"/>
          <w:szCs w:val="18"/>
          <w:color w:val="auto"/>
        </w:rPr>
      </w:pPr>
    </w:p>
    <w:p>
      <w:pPr>
        <w:ind w:left="1040" w:right="239" w:hanging="321"/>
        <w:spacing w:after="0" w:line="25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We receive upfront payments, milestone payments and royalties from licensing our XmAb technologies and drug candidates. The COVID-19 pandemic has not adversely affected the amount of revenue we generate from such partnerships and collaborations for the quarter ended June 30, 2022. During this quarter, for example, we received approximately $30.0 million in revenue from our partnerships and collaborations.</w:t>
      </w:r>
    </w:p>
    <w:p>
      <w:pPr>
        <w:spacing w:after="0" w:line="183" w:lineRule="exact"/>
        <w:rPr>
          <w:sz w:val="20"/>
          <w:szCs w:val="20"/>
          <w:color w:val="auto"/>
        </w:rPr>
      </w:pPr>
    </w:p>
    <w:p>
      <w:pPr>
        <w:ind w:left="1020" w:right="119"/>
        <w:spacing w:after="0" w:line="253" w:lineRule="auto"/>
        <w:rPr>
          <w:sz w:val="20"/>
          <w:szCs w:val="20"/>
          <w:color w:val="auto"/>
        </w:rPr>
      </w:pPr>
      <w:r>
        <w:rPr>
          <w:rFonts w:ascii="Times New Roman" w:cs="Times New Roman" w:eastAsia="Times New Roman" w:hAnsi="Times New Roman"/>
          <w:sz w:val="18"/>
          <w:szCs w:val="18"/>
          <w:color w:val="auto"/>
        </w:rPr>
        <w:t>Our ability to earn revenue from these and other partnerships is dependent on the ability of our partners to generate sales from products, such as Ultomiris®, Monjuvi® and sotrovimab, the ability of our partners to advance our partnered programs through later stages of development and through regulatory approval, which would entitle us to potential milestone payments. A majority of our revenue received in the first half of 2022 is royalty revenue from the sales of sotrovimab under our partnership with Vir. In April 2022, GSK, which is marketing sotrovimab with Vir, announced that a majority of the total 2022 projected sales of sotrovimab was recorded in the first quarter. We recorded royalty revenues of $70.3 million and $22.1 million in the first and second quarter, respectively, related to sales of sotrovimab, and based on the guidance from GSK, we expect the amount of royalties that we expect to receive from the sale of sotrovimab to continue to decline in subsequent quarters of 2022. If the COVID-19 pandemic adversely affects the sales or clinical, development and regulatory progress of partnered programs, the amount of revenue we could earn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21"/>
        <w:spacing w:after="0" w:line="25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We are currently enrolling patients into multiple clinical trials evaluating our drug candidates, and our partner Genentech is enrolling patients in multiple Phase 1 studies of XmAb306 (also known as RG6323), our co-development program with Genentech. Many partners are also enrolling patients in clinical trials with drug candidates that incorporate one or more XmAb technologies. Although the pandemic has not materially affected development of our clinical programs for the quarter ended June 30, 2022, some of our clinical programs have temporarily experienced slower patient enrollment, and the initiations of new studies for certain programs have been delayed. These delays have not broadly affected the status of our portfolio programs and have been limited to specific trials and specific sites. Many clinical sites have delayed starting new clinical trials and others have postponed enrollment to address the pandemic.</w:t>
      </w:r>
    </w:p>
    <w:p>
      <w:pPr>
        <w:spacing w:after="0" w:line="188" w:lineRule="exact"/>
        <w:rPr>
          <w:rFonts w:ascii="Times New Roman" w:cs="Times New Roman" w:eastAsia="Times New Roman" w:hAnsi="Times New Roman"/>
          <w:sz w:val="18"/>
          <w:szCs w:val="18"/>
          <w:color w:val="auto"/>
        </w:rPr>
      </w:pPr>
    </w:p>
    <w:p>
      <w:pPr>
        <w:ind w:left="1040" w:right="199" w:hanging="321"/>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administrative activities: We have implemented environmental, health, and safety procedures for all employees and have also offered reimbursement of costs incurred and time off to employees to receive vaccinations that have been authorized. We believe we provide a safe and healthy environment for our onsite employees who have been able to continue research operations, following an initial period of reduced onsite activities while new policies and procedures were developed and implemented. As of June 30, 2022, these activities have continued without interruption from the COVID-19 pandemic.</w:t>
      </w:r>
    </w:p>
    <w:p>
      <w:pPr>
        <w:spacing w:after="0" w:line="189" w:lineRule="exact"/>
        <w:rPr>
          <w:sz w:val="20"/>
          <w:szCs w:val="20"/>
          <w:color w:val="auto"/>
        </w:rPr>
      </w:pPr>
    </w:p>
    <w:p>
      <w:pPr>
        <w:ind w:left="1020" w:right="299"/>
        <w:spacing w:after="0" w:line="256" w:lineRule="auto"/>
        <w:rPr>
          <w:sz w:val="20"/>
          <w:szCs w:val="20"/>
          <w:color w:val="auto"/>
        </w:rPr>
      </w:pPr>
      <w:r>
        <w:rPr>
          <w:rFonts w:ascii="Times New Roman" w:cs="Times New Roman" w:eastAsia="Times New Roman" w:hAnsi="Times New Roman"/>
          <w:sz w:val="18"/>
          <w:szCs w:val="18"/>
          <w:color w:val="auto"/>
        </w:rPr>
        <w:t>Our development activities include initiating a Phase 1 study of XmAb808, our first tumor selective CD28 bispecific candidate that targets B7-H3, and XmAb662, our IL12-Fc cytokine candidate. Several other bispecific antibody and cytokine programs are in earlier stages of development. Certain manufacturing and supply companies have indicated supply chain issues and shortages of research and manufacturing supply materials. The development timelines for additional early-stage programs and ongoing clinical programs could be affected if the supply shortages and delays continue for an extended period.</w:t>
      </w:r>
    </w:p>
    <w:p>
      <w:pPr>
        <w:spacing w:after="0" w:line="187" w:lineRule="exact"/>
        <w:rPr>
          <w:sz w:val="20"/>
          <w:szCs w:val="20"/>
          <w:color w:val="auto"/>
        </w:rPr>
      </w:pPr>
    </w:p>
    <w:p>
      <w:pPr>
        <w:ind w:left="1040" w:right="239" w:hanging="321"/>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credits: In the second quarter of 2022, we recorded a receivable of $3.2 million related to the U.S. Government Employee Retention Tax Credit (ERTC) Program. The ERTC was established to assist companies that were impacted by the pandemic during 2020 and 2021. The receivable relates to credits that were earned in connection with our operations in the first and second quarter of 2021.</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Clinical-Stage XmAb Bispecific Antibody and Cytokine Drug Candidate Updates</w:t>
      </w:r>
    </w:p>
    <w:p>
      <w:pPr>
        <w:spacing w:after="0" w:line="229"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Our modular XmAb bispecific Fc domains and protein engineering capabilities enable us to rapidly advance multiple drug candidates into clinical development. We and our partners are currently enrolling Phase 1 or Phase 2 studies for six wholly owned or co-development candidates to treat patients with many different types of cancer, and a candidate in development for patients with autoimmune disease.</w:t>
      </w:r>
    </w:p>
    <w:p>
      <w:pPr>
        <w:spacing w:after="0" w:line="178"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Vudalimab (PD-1 x CTLA-4): </w:t>
      </w:r>
      <w:r>
        <w:rPr>
          <w:rFonts w:ascii="Times New Roman" w:cs="Times New Roman" w:eastAsia="Times New Roman" w:hAnsi="Times New Roman"/>
          <w:sz w:val="18"/>
          <w:szCs w:val="18"/>
          <w:color w:val="auto"/>
        </w:rPr>
        <w:t>Vudalimab is a bispecific antibody that targets PD-1 and CTLA-4, two immune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checkpoint receptors, to selectively activate the tumor microenvironment, and it is being developed for patients with metastatic castration-resistant prostate cancer (mCRPC) and other solid tumor types. We are conducting a Phase 2 study of vudalimab in patients with mCRPC, as a monotherapy or in combination with chemotherapy or a PARP inhibitor depending on the tumor’s molecular subtype. We plan to present initial data from the study in the second half of 2022.</w:t>
      </w:r>
    </w:p>
    <w:p>
      <w:pPr>
        <w:spacing w:after="0" w:line="185" w:lineRule="exact"/>
        <w:rPr>
          <w:sz w:val="20"/>
          <w:szCs w:val="20"/>
          <w:color w:val="auto"/>
        </w:rPr>
      </w:pPr>
    </w:p>
    <w:p>
      <w:pPr>
        <w:ind w:left="40" w:right="819" w:firstLine="648"/>
        <w:spacing w:after="0" w:line="282" w:lineRule="auto"/>
        <w:rPr>
          <w:sz w:val="20"/>
          <w:szCs w:val="20"/>
          <w:color w:val="auto"/>
        </w:rPr>
      </w:pPr>
      <w:r>
        <w:rPr>
          <w:rFonts w:ascii="Times New Roman" w:cs="Times New Roman" w:eastAsia="Times New Roman" w:hAnsi="Times New Roman"/>
          <w:sz w:val="18"/>
          <w:szCs w:val="18"/>
          <w:color w:val="auto"/>
        </w:rPr>
        <w:t>We are also conducting a second Phase 2 study in patients with advanced gynecologic and genitourinary malignancies, as well as clinically-defined high-risk mCRPC.</w:t>
      </w:r>
    </w:p>
    <w:p>
      <w:pPr>
        <w:spacing w:after="0" w:line="160"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Plamotamab (CD20 x CD3): </w:t>
      </w:r>
      <w:r>
        <w:rPr>
          <w:rFonts w:ascii="Times New Roman" w:cs="Times New Roman" w:eastAsia="Times New Roman" w:hAnsi="Times New Roman"/>
          <w:sz w:val="18"/>
          <w:szCs w:val="18"/>
          <w:color w:val="auto"/>
        </w:rPr>
        <w:t>Plamotamab is a bispecific antibody that targets CD20, an antigen on B-cell tumors,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CD3, an activating receptor on T cells, and we are co-developing the program in collaboration with Janssen. Data from the dose-escalation portion of a Phase 1 study in B-cell malignancies, including from patients with relapsed or refractory non-Hodgkin’s lymphoma (NHL), indicate that plamotamab was generally well tolerated and demonstrated encouraging clinical activity as a monotherapy. Expansion cohorts are actively recruiting patients with diffuse large B-cell lymphoma (DLBCL) and follicular lymphoma (FL) and are dosing using the recommended Phase 2 regimen to further evaluate the safety and efficacy of plamotamab monotherapy. In 2022, subcutaneous administration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plamotamab will be incorporated into the study, and we plan to present data from expansion cohorts in the second half of 2022.</w:t>
      </w:r>
    </w:p>
    <w:p>
      <w:pPr>
        <w:spacing w:after="0" w:line="162"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are also collaborating with MorphoSys AG and Incyte Corporation to investigate the chemotherapy-free triple combination of plamotamab, tafasitamab, and lenalidomide in patients with relapsed or refractory DLBCL, first-line DLBCL and relapsed or refractory FL. In May 2022, we completed the first patient dosing in the first of these studies, a potentially registration-enabling Phase 2 study, in patients with relapsed or refractory DLBCL, an aggressive type of NHL.</w:t>
      </w:r>
    </w:p>
    <w:p>
      <w:pPr>
        <w:spacing w:after="0" w:line="178"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XmAb306/RG6323 (IL15/IL15Rα-Fc Cytokine): </w:t>
      </w:r>
      <w:r>
        <w:rPr>
          <w:rFonts w:ascii="Times New Roman" w:cs="Times New Roman" w:eastAsia="Times New Roman" w:hAnsi="Times New Roman"/>
          <w:sz w:val="18"/>
          <w:szCs w:val="18"/>
          <w:color w:val="auto"/>
        </w:rPr>
        <w:t>XmAb306 is an IL15/IL15Rα-Fc fusion protein that incorporates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Xtend extended half-life technology, and we are co-developing this program in collaboration with Genentech, a member of the Roche Group. Genentech is conducting a Phase 1 dose-escalation study of XmAb306 as a single agent and in combination with atezolizumab. In November 2021, we announced that XmAb306 promoted high levels of sustained NK cell expansion and evidence of peripheral T cell proliferation had been observed. Genentech has initiated a second study, evaluating XmAb306 in combination with daratumumab (anti-CD38 antibody) in patients with relapsed/refractory multiple myeloma. Additional studies of XmAb306 in combination with other agents are also being planned.</w:t>
      </w:r>
    </w:p>
    <w:p>
      <w:pPr>
        <w:spacing w:after="0" w:line="183" w:lineRule="exact"/>
        <w:rPr>
          <w:sz w:val="20"/>
          <w:szCs w:val="20"/>
          <w:color w:val="auto"/>
        </w:rPr>
      </w:pPr>
    </w:p>
    <w:p>
      <w:pPr>
        <w:ind w:left="40" w:right="2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XmAb104 (PD-1 x ICOS): </w:t>
      </w:r>
      <w:r>
        <w:rPr>
          <w:rFonts w:ascii="Times New Roman" w:cs="Times New Roman" w:eastAsia="Times New Roman" w:hAnsi="Times New Roman"/>
          <w:sz w:val="18"/>
          <w:szCs w:val="18"/>
          <w:color w:val="auto"/>
        </w:rPr>
        <w:t>XmAb104 is a bispecific antibody that targets PD-1, an immune checkpoint receptor,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ICOS, an immune co-stimulatory receptor, to selectively activate the tumor microenvironment. We reported initial dose-escalation data from the Phase 1 study at the American Society of Clinical Oncology in June 2022. XmAb104 was well tolerated and exhibited a distinct safety profile compared to other clinical-stage ICOS programs. Anti-tumor activity was observed in patients, and biomarker activity was consistent with engagement with T cells. We are evaluating XmAb104 as a monotherapy and in combination with ipilimumab, in the expansion portion of a Phase 1 clinical study for the treatment of patients with advanced solid tumors.</w:t>
      </w:r>
    </w:p>
    <w:p>
      <w:pPr>
        <w:spacing w:after="0" w:line="183"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XmAb564 (IL2-Fc Cytokine)</w:t>
      </w:r>
      <w:r>
        <w:rPr>
          <w:rFonts w:ascii="Times New Roman" w:cs="Times New Roman" w:eastAsia="Times New Roman" w:hAnsi="Times New Roman"/>
          <w:sz w:val="18"/>
          <w:szCs w:val="18"/>
          <w:color w:val="auto"/>
        </w:rPr>
        <w:t>: XmAb564 is a wholly owned, monovalent interleukin-2 Fc (IL-2-Fc) fusion protein,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engineered to selectively activate and expand regulatory T cells (Tregs) for the potential treatment of patients with autoimmune diseases. XmAb564 is engineered with reduced binding affinity for IL-2’s beta receptor and increased binding affinity for its alpha receptor. In preclinical studies, XmAb564 was well-tolerated, promoted the selective and sustained expansion of Tregs and exhibited a favorable pharmacokinetic profile. We are enrolling healthy volunteers in a randomized, double-blind, placebo-controlled Phase 1 study to evaluate the safety and tolerability of XmAb564, administered subcutaneously. In 2022, we plan to present data from the study and initiate a multiple-ascending dose study in select patient populations.</w:t>
      </w:r>
    </w:p>
    <w:p>
      <w:pPr>
        <w:spacing w:after="0" w:line="185"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XmAb819 (ENPP3 x CD3)</w:t>
      </w:r>
      <w:r>
        <w:rPr>
          <w:rFonts w:ascii="Times New Roman" w:cs="Times New Roman" w:eastAsia="Times New Roman" w:hAnsi="Times New Roman"/>
          <w:sz w:val="18"/>
          <w:szCs w:val="18"/>
          <w:color w:val="auto"/>
        </w:rPr>
        <w:t>: XmAb819 is a bispecific antibody that targets ENPP3 and CD3, and it is our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XmAb 2+1 bispecific antibody candidate. ENPP3 is a tumor-associated antigen in renal cell carcinoma (RCC) and exhibits low-level expression on normal tissues. We are conducting a Phase 1 study to evaluate XmAb819 in patients with advanced clear cell RCC.</w:t>
      </w:r>
    </w:p>
    <w:p>
      <w:pPr>
        <w:spacing w:after="0" w:line="180"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Tidutamab (SSTR2 x CD3)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XmAb841 (CTLA-4 x LAG-3): </w:t>
      </w:r>
      <w:r>
        <w:rPr>
          <w:rFonts w:ascii="Times New Roman" w:cs="Times New Roman" w:eastAsia="Times New Roman" w:hAnsi="Times New Roman"/>
          <w:sz w:val="18"/>
          <w:szCs w:val="18"/>
          <w:color w:val="auto"/>
        </w:rPr>
        <w:t>In May 2022, we announced that we do not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internal development of tidutamab and XmAb841. Neither program demonstrated a competitive clinical profile in recent studies, and we have decided to focus resources on new clinical programs. We will continue to support patients currently enrolled and being treated. We anticipate spending on these two programs to decline throughout 2022.</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Advancements Expanding XmAb Bispecific and Cytokine Platforms</w:t>
      </w:r>
    </w:p>
    <w:p>
      <w:pPr>
        <w:spacing w:after="0" w:line="229"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We conduct further research into the function and application of antibody components and cytokines in order to expand the scope of our XmAb technology platforms and identify additional XmAb drug candidates.</w:t>
      </w:r>
    </w:p>
    <w:p>
      <w:pPr>
        <w:spacing w:after="0" w:line="162"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use the modularity of our XmAb bispecific Fc technology to build bispecific antibodies and cytokines in a variety of formats, and we have introduced CD3 bispecific antibodies of a mixed valency format, the XmAb 2+1 bispecific antibody. XmAb 2+1 bispecific antibodies may preferentially kill tumor cells with high target expression, which may be especially beneficial in designing antibodies that target solid tumors. This selectivity potentially empowers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82" w:lineRule="auto"/>
        <w:rPr>
          <w:sz w:val="20"/>
          <w:szCs w:val="20"/>
          <w:color w:val="auto"/>
        </w:rPr>
      </w:pPr>
      <w:r>
        <w:rPr>
          <w:rFonts w:ascii="Times New Roman" w:cs="Times New Roman" w:eastAsia="Times New Roman" w:hAnsi="Times New Roman"/>
          <w:sz w:val="18"/>
          <w:szCs w:val="18"/>
          <w:color w:val="auto"/>
        </w:rPr>
        <w:t>CD3 bispecifics to address an expanded set of tumor antigens. Multiple clinical-stage programs incorporate our XmAb 2+1 format, including XmAb819 (ENPP3 x CD3) and Amgen’s AMG 509 (STEAP1 x CD3).</w:t>
      </w:r>
    </w:p>
    <w:p>
      <w:pPr>
        <w:spacing w:after="0" w:line="162" w:lineRule="exact"/>
        <w:rPr>
          <w:sz w:val="20"/>
          <w:szCs w:val="20"/>
          <w:color w:val="auto"/>
        </w:rPr>
      </w:pPr>
    </w:p>
    <w:p>
      <w:pPr>
        <w:ind w:left="40" w:right="239" w:firstLine="648"/>
        <w:spacing w:after="0" w:line="255" w:lineRule="auto"/>
        <w:rPr>
          <w:sz w:val="20"/>
          <w:szCs w:val="20"/>
          <w:color w:val="auto"/>
        </w:rPr>
      </w:pPr>
      <w:r>
        <w:rPr>
          <w:rFonts w:ascii="Times New Roman" w:cs="Times New Roman" w:eastAsia="Times New Roman" w:hAnsi="Times New Roman"/>
          <w:sz w:val="18"/>
          <w:szCs w:val="18"/>
          <w:color w:val="auto"/>
        </w:rPr>
        <w:t>Additionally, we have engineered CD28 bispecific antibodies to provide conditional CD28 co-stimulation of T cells, activating them when bound to tumor cells. Targeted CD28 bispecific antibodies may provide conditional co-stimulation of T cells, for example, to T cells recognizing neoantigens or in concert with CD3 T-cell engaging bispecific antibodies. We are advancing wholly owned CD28 candidates including our lead candidate, XmAb808, a B7-H3 x CD28 bispecific antibody designed to be evaluated for the treatment of patients with a range of solid tumors. We submitted an IND application for XmAb808 in the second quarter of 2022, and we plan to initiate a Phase 1 study in the second half of 2022.</w:t>
      </w:r>
    </w:p>
    <w:p>
      <w:pPr>
        <w:spacing w:after="0" w:line="18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Our CD28 platform is also the subject of two collaborations with Janssen. The first collaboration was announced in 2020 and involves our research efforts to create and characterize CD28 bispecific antibody candidates against a prostate tumor target specified by Janssen. The second Janssen collaboration was announced in October 2021 and includes conducting research activities with Janssen to create and characterize CD28 bispecific antibody candidates against B-cell targets during a two-year period, with Janssen having an exclusive worldwide license to develop selected molecules from the research activities and also selected molecules in combination with plamotamab and other agents, such as other CD3 bispecific antibodies.</w:t>
      </w:r>
    </w:p>
    <w:p>
      <w:pPr>
        <w:spacing w:after="0" w:line="18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In April 2022, we presented emerging preclinical data from two wholly owned cytokine programs at the American Association for Cancer Research Annual Meeting: XmAb143, a decoy-resistant and potency-reduced IL18-Fc fusion protein, and a LAG-3 targeted IL15/IL15Rα-Fc fusion protein, which is biased toward binding and activating LAG-3-positive immune cells that are more likely to be tumor-reactive.</w:t>
      </w:r>
    </w:p>
    <w:p>
      <w:pPr>
        <w:spacing w:after="0" w:line="180"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In 2023, we plan to submit an IND application for XmAb662, a wholly owned, reduced-potency IL12-Fc cytokine and initiate a Phase 1 study in patients with advanced solid tumors.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Progress Across Partnerships</w:t>
      </w:r>
    </w:p>
    <w:p>
      <w:pPr>
        <w:spacing w:after="0" w:line="229"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A key part of our business strategy is to leverage our protein engineering capabilities, XmAb Fc domains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into with partners include product licenses, novel bispecific antibody collaborations, technology licensing agreements and strategic collaborations.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227"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that could potentially be developed in rational combinations with our drug candidates.</w:t>
      </w:r>
    </w:p>
    <w:p>
      <w:pPr>
        <w:spacing w:after="0" w:line="183"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FDA approved Monjuvi® (tafasitamab-cxix) under accelerated approval in July 2020. Monjuvi is a CD19-directed cytolytic antibody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 (tafasitamab) in combination with lenalidomide, followed by tafasitamab monotherapy, for the treatment of adult patients with relapsed or refractory diffuse large B-cell lymphoma (DLBCL) who are not eligible for autologous stem cell transplantation (ASCT). Tafasitamab was created and initially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developed by us. Tafasitamab is co-marketed by Incyte and MorphoSys under the brand name Monjuvi in the U.S. and is marketed by Incyte under the brand name Minjuvi in the E.U. Incyte has exclusive commercialization rights to tafasitamab outside the U.S. Monjuvi® and Minjuvi® are registered trademarks of MorphoSys AG. We earned $1.2 million in estimated royalties from MorphoSys for the three months ended June 30, 2022.</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Novel Bispecific Antibody Collaborations</w:t>
      </w:r>
    </w:p>
    <w:p>
      <w:pPr>
        <w:spacing w:after="0" w:line="227"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Novel bispecific antibody collaborations are arrangements in which our partner seeks to create a bispecific antibody using one or more of our XmAb bispecific technologies. Our partners provide an antibody or a tumor-associated antigen, and we conduct limited research and development to create potential bispecific antibody candidates for further development and commercialization by our partners.</w:t>
      </w:r>
    </w:p>
    <w:p>
      <w:pPr>
        <w:spacing w:after="0" w:line="180"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September 2015, we entered into an agreement with Amgen Inc. to develop and commercialize bispecific antibody product candidates using our proprietary XmAb bispecific Fc technology. Amgen applied our XmAb bispecific Fc technology to create AMG 509, a STEAP1 x CD3 XmAb 2+1 bispecific antibody, which is being evaluated in an ongoing dose-escalation Phase 1 study for patients with prostate cancer. In February 2022, Amgen presented encouraging, preliminary pharmacodynamic activity by induction of percent maximum prostate-specific antigen (PSA) decline among 30 patients in the study, which provides an early signal of activity and validation of the potential of the XmAb 2+1 format.</w:t>
      </w:r>
    </w:p>
    <w:p>
      <w:pPr>
        <w:spacing w:after="0" w:line="187"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In March 2019, we entered into an agreement with Astellas Pharma, Inc., under which we applied our XmAb bispecific Fc technology to an antigen pair provided by Astellas and generated bispecific antibody candidates for further certain characterization and testing. Astellas selected a bispecific antibody developed under the collaboration, ASP2138, a CLDN18.2 x CD3 bispecific antibody, for further development and is conducting a Phase 1 clinical study in patients with gastric, gastroesophageal, and pancreatic cancers. We recognized a $5.0 million milestone from Astellas for a development milestone for the six months ended June 30, 2022.</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Technology License Agreements</w:t>
      </w:r>
    </w:p>
    <w:p>
      <w:pPr>
        <w:spacing w:after="0" w:line="227"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We enter into technology licensing agreements in which we license access to one or more of our XmAb Fc domains on a restricted basis, typically to an XmAb Cytotoxic Fc Domain and/or the Xtend Fc Domain.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spacing w:after="0" w:line="183"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Alexion’s Ultomiris® uses Xtend Fc technology for longer half-life. Ultomiris has received marketing authorizations from regulatory agencies in the U.S. and multiple global markets for the treatment of patients with paroxysmal nocturnal hemoglobinuria (PNH) and for patients with atypical hemolytic uremic syndrome (aHUS). In April 2022, Ultomiris was approved by the FDA for the treatment of adult patients with generalized myasthenia gravis (gMG) who are anti-acetylcholine receptor (AChR) antibody positive. Alexion is also evaluating Ultomiris in a broad late-stage development program across many indications in neurology and nephrology. We earned $6.7 million in royalties from Alexion for the three months ended June 30, 2022.</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Vir has non-exclusive access to multiple XmAb Fc technologies, including Xtend™ Fc technology, designed to extend the half-life of novel antibodies that Vir is investigating as potential treatments for patients with COVID-19. In May 2021, the FDA granted EUA to sotrovimab (VIR-7831) for the treatment of mild-to-moderate COVID-19 in high-risk adults and pediatric patients. A second drug candidate, VIR-7832, is in a Phase 1b/2a trial of adults with mild-to-moderate COVID-19. We earned $22.1 million in royalties from Vir for the three months ended June 30, 2022.</w:t>
      </w:r>
    </w:p>
    <w:p>
      <w:pPr>
        <w:spacing w:after="0" w:line="181" w:lineRule="exact"/>
        <w:rPr>
          <w:sz w:val="20"/>
          <w:szCs w:val="20"/>
          <w:color w:val="auto"/>
        </w:rPr>
      </w:pPr>
    </w:p>
    <w:p>
      <w:pPr>
        <w:ind w:left="40" w:right="459"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1, Note 9, </w:t>
      </w:r>
      <w:r>
        <w:rPr>
          <w:rFonts w:ascii="Times New Roman" w:cs="Times New Roman" w:eastAsia="Times New Roman" w:hAnsi="Times New Roman"/>
          <w:sz w:val="18"/>
          <w:szCs w:val="18"/>
          <w:i w:val="1"/>
          <w:iCs w:val="1"/>
          <w:color w:val="auto"/>
        </w:rPr>
        <w:t>Collaboration and Licensing Agreements</w:t>
      </w:r>
      <w:r>
        <w:rPr>
          <w:rFonts w:ascii="Times New Roman" w:cs="Times New Roman" w:eastAsia="Times New Roman" w:hAnsi="Times New Roman"/>
          <w:sz w:val="18"/>
          <w:szCs w:val="18"/>
          <w:color w:val="auto"/>
        </w:rPr>
        <w:t xml:space="preserve"> of the Notes to Financial Statements included in this Quarterly Report on Form 10-Q for a description of the key terms of our arrangements.</w:t>
      </w:r>
    </w:p>
    <w:p>
      <w:pPr>
        <w:spacing w:after="0" w:line="160"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We have over 1,300 issued and pending patents worldwide to protect our XmAb technology platform and XmAb drug candidates.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Since we commenced active operations in 1998, we have devoted substantially all our resources to staffing our Company, business planning, raising capital, developing our technology platforms, identifying potential product candidates, undertaking pre-clinical and IND-enabling studies, and conducting clinical trials. We have no internally developed products approved for commercial sale and have not generated any revenues from our own product sales, and we continue to incur significant research and development expenses and other expenses related to our ongoing operations. To date, we have funded our operations primarily through the sale of stock and from payments generated from our product development partnerships and licensing arrangements.</w:t>
      </w:r>
    </w:p>
    <w:p>
      <w:pPr>
        <w:spacing w:after="0" w:line="189"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we had an accumulated deficit of $293.5 million. Substantially all of the operating losses that we have incurred resulted from expenses incurred in connection with our product candidate development programs, our research activities and general and administrative costs associated with our operations.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29"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60" w:type="dxa"/>
            <w:vAlign w:val="bottom"/>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5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collaboration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Milestone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bottom w:val="single" w:sz="8" w:color="CCEEFF"/>
            </w:tcBorders>
          </w:tcPr>
          <w:p>
            <w:pPr>
              <w:spacing w:after="0"/>
              <w:rPr>
                <w:sz w:val="18"/>
                <w:szCs w:val="18"/>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r>
      <w:tr>
        <w:trPr>
          <w:trHeight w:val="20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June 30, 2022 are primarily from royalty revenue from Alexion and Vir. Revenues for the three months ended June 30, 2021 are primarily from the collaboration with Janssen, milestone revenue recognized from Novartis, research revenue recognized in connection with the expiration of research terms under the Genentech and Novartis collaborations, and royalty revenue from Alexion and Vir.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research and development expenses for the three months ended June 30, 2022 and 2021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programs: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Bispecific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CD3 programs: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line="216" w:lineRule="exact"/>
              <w:rPr>
                <w:sz w:val="20"/>
                <w:szCs w:val="20"/>
                <w:color w:val="auto"/>
              </w:rPr>
            </w:pPr>
            <w:r>
              <w:rPr>
                <w:rFonts w:ascii="Times New Roman" w:cs="Times New Roman" w:eastAsia="Times New Roman" w:hAnsi="Times New Roman"/>
                <w:sz w:val="17"/>
                <w:szCs w:val="17"/>
                <w:i w:val="1"/>
                <w:iCs w:val="1"/>
                <w:color w:val="auto"/>
              </w:rPr>
              <w:t>Vibecotamab</w:t>
            </w:r>
            <w:r>
              <w:rPr>
                <w:rFonts w:ascii="Times New Roman" w:cs="Times New Roman" w:eastAsia="Times New Roman" w:hAnsi="Times New Roman"/>
                <w:sz w:val="25"/>
                <w:szCs w:val="25"/>
                <w:i w:val="1"/>
                <w:iCs w:val="1"/>
                <w:color w:val="auto"/>
                <w:vertAlign w:val="superscript"/>
              </w:rPr>
              <w:t>(1)(2)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7"/>
                <w:szCs w:val="17"/>
                <w:i w:val="1"/>
                <w:iCs w:val="1"/>
                <w:color w:val="auto"/>
              </w:rPr>
              <w:t>Plamotamab</w:t>
            </w:r>
            <w:r>
              <w:rPr>
                <w:rFonts w:ascii="Times New Roman" w:cs="Times New Roman" w:eastAsia="Times New Roman" w:hAnsi="Times New Roman"/>
                <w:sz w:val="25"/>
                <w:szCs w:val="25"/>
                <w:i w:val="1"/>
                <w:iCs w:val="1"/>
                <w:color w:val="auto"/>
                <w:vertAlign w:val="superscript"/>
              </w:rPr>
              <w:t>(3)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line="216" w:lineRule="exact"/>
              <w:rPr>
                <w:sz w:val="20"/>
                <w:szCs w:val="20"/>
                <w:color w:val="auto"/>
              </w:rPr>
            </w:pPr>
            <w:r>
              <w:rPr>
                <w:rFonts w:ascii="Times New Roman" w:cs="Times New Roman" w:eastAsia="Times New Roman" w:hAnsi="Times New Roman"/>
                <w:sz w:val="17"/>
                <w:szCs w:val="17"/>
                <w:i w:val="1"/>
                <w:iCs w:val="1"/>
                <w:color w:val="auto"/>
              </w:rPr>
              <w:t>Tidutamab</w:t>
            </w:r>
            <w:r>
              <w:rPr>
                <w:rFonts w:ascii="Times New Roman" w:cs="Times New Roman" w:eastAsia="Times New Roman" w:hAnsi="Times New Roman"/>
                <w:sz w:val="25"/>
                <w:szCs w:val="25"/>
                <w:i w:val="1"/>
                <w:iCs w:val="1"/>
                <w:color w:val="auto"/>
                <w:vertAlign w:val="superscript"/>
              </w:rPr>
              <w:t>(4)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XmAb819 (ENPP3 x CD3)</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CD3 programs</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XmAb808 (B7-H3 x CD28)</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Tumor micro environment (TME) activator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Vudalimab</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XmAb104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7"/>
                <w:szCs w:val="17"/>
                <w:i w:val="1"/>
                <w:iCs w:val="1"/>
                <w:color w:val="auto"/>
              </w:rPr>
              <w:t>XmAb841</w:t>
            </w:r>
            <w:r>
              <w:rPr>
                <w:rFonts w:ascii="Times New Roman" w:cs="Times New Roman" w:eastAsia="Times New Roman" w:hAnsi="Times New Roman"/>
                <w:sz w:val="25"/>
                <w:szCs w:val="25"/>
                <w:i w:val="1"/>
                <w:iCs w:val="1"/>
                <w:color w:val="auto"/>
                <w:vertAlign w:val="superscript"/>
              </w:rPr>
              <w:t>(5)</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TME activators programs</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Cytokine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7"/>
                <w:szCs w:val="17"/>
                <w:i w:val="1"/>
                <w:iCs w:val="1"/>
                <w:color w:val="auto"/>
              </w:rPr>
              <w:t>XmAb306/RG6323 programs</w:t>
            </w:r>
            <w:r>
              <w:rPr>
                <w:rFonts w:ascii="Times New Roman" w:cs="Times New Roman" w:eastAsia="Times New Roman" w:hAnsi="Times New Roman"/>
                <w:sz w:val="25"/>
                <w:szCs w:val="25"/>
                <w:i w:val="1"/>
                <w:iCs w:val="1"/>
                <w:color w:val="auto"/>
                <w:vertAlign w:val="superscript"/>
              </w:rPr>
              <w:t>(6)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XmAb564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XmAb662 (IL-12-Fc)</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cytokine programs</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bispecific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research and early stage programs</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720" w:hanging="325"/>
        <w:spacing w:after="0"/>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are net of cost-sharing reimbursement from Novartis under the Novartis Agreement.</w:t>
      </w:r>
    </w:p>
    <w:p>
      <w:pPr>
        <w:spacing w:after="0" w:line="3" w:lineRule="exact"/>
        <w:rPr>
          <w:rFonts w:ascii="Times New Roman" w:cs="Times New Roman" w:eastAsia="Times New Roman" w:hAnsi="Times New Roman"/>
          <w:sz w:val="14"/>
          <w:szCs w:val="14"/>
          <w:color w:val="auto"/>
        </w:rPr>
      </w:pPr>
    </w:p>
    <w:p>
      <w:pPr>
        <w:ind w:left="720" w:hanging="325"/>
        <w:spacing w:after="0" w:line="221" w:lineRule="auto"/>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wind down costs of the program; the Company stopped development of the vibecotamab program in 2021.</w:t>
      </w:r>
    </w:p>
    <w:p>
      <w:pPr>
        <w:ind w:left="720" w:hanging="325"/>
        <w:spacing w:after="0" w:line="221" w:lineRule="auto"/>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are net of cost-sharing reimbursement from Janssen under the Second Janssen Agreement.</w:t>
      </w:r>
    </w:p>
    <w:p>
      <w:pPr>
        <w:ind w:left="720" w:hanging="325"/>
        <w:spacing w:after="0" w:line="221" w:lineRule="auto"/>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wind down costs of the program; the Company stopped development of the tidutamab program in the second quarter of 2022.</w:t>
      </w:r>
    </w:p>
    <w:p>
      <w:pPr>
        <w:ind w:left="720" w:hanging="325"/>
        <w:spacing w:after="0" w:line="221" w:lineRule="auto"/>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wind down costs of the program; the Company stopped development of the XmAb841 program in the second quarter of 2022.</w:t>
      </w:r>
    </w:p>
    <w:p>
      <w:pPr>
        <w:ind w:left="720" w:hanging="325"/>
        <w:spacing w:after="0"/>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share of costs paid to Genentech for cost-sharing under the Genentech Agreement.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r>
      <w:tr>
        <w:trPr>
          <w:trHeight w:val="173"/>
        </w:trPr>
        <w:tc>
          <w:tcPr>
            <w:tcW w:w="5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$2.4 million for the three months ended June 30, 2022 over the same period in 2021 primarily due to reduced spending on our plamotamab and XmAb819 programs, partially offset by increased spending on our new development programs, XmAb808 and XmAb662.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40"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2022 and 2021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23"/>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$2.2 million for the three months ended June 30, 2022 over the same period in 2021 primarily due to increased general and administrative staffing and additional lease expenses.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Other income (expense), net was ($6.0) million and $43.2 million for the three months ended June 30, 2022 and 2021, respectively. Other income (expense) net for the three months ended June 30, 2022 consists primarily of unrealized loss recognized from the change in fair value of our equity investments. Other income (expense), net for the three months ended June 30, 2021 consists primarily of realized gain from the sale of an equity instrument as well as the unrealized gain recognized from the change in our accounting for one of our equity investments.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29"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8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collaboration</w:t>
            </w:r>
          </w:p>
        </w:tc>
        <w:tc>
          <w:tcPr>
            <w:tcW w:w="18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Milestone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Royalties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tcPr>
          <w:p>
            <w:pPr>
              <w:spacing w:after="0"/>
              <w:rPr>
                <w:sz w:val="18"/>
                <w:szCs w:val="18"/>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bottom w:val="single" w:sz="8" w:color="CCEEFF"/>
            </w:tcBorders>
          </w:tcPr>
          <w:p>
            <w:pPr>
              <w:spacing w:after="0"/>
              <w:rPr>
                <w:sz w:val="18"/>
                <w:szCs w:val="18"/>
                <w:color w:val="auto"/>
              </w:rPr>
            </w:pPr>
          </w:p>
        </w:tc>
      </w:tr>
      <w:tr>
        <w:trPr>
          <w:trHeight w:val="210"/>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Revenues for the six months ended June 30, 2022 are primarily from milestone revenue from Astellas and royalty revenue from Alexion, MorphoSys, and Vir. Revenues for the six months ended June 30, 2021 are primarily from the collaboration with Janssen, milestone revenue recognized from MorphoSys and Novartis, research revenue recognized in connection with the expiration of research terms under the Novartis collaboration, and the royalty revenue from Alexion, MorphoSys, and Vir.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programs: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Bispecific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CD3 programs: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line="216" w:lineRule="exact"/>
              <w:rPr>
                <w:sz w:val="20"/>
                <w:szCs w:val="20"/>
                <w:color w:val="auto"/>
              </w:rPr>
            </w:pPr>
            <w:r>
              <w:rPr>
                <w:rFonts w:ascii="Times New Roman" w:cs="Times New Roman" w:eastAsia="Times New Roman" w:hAnsi="Times New Roman"/>
                <w:sz w:val="17"/>
                <w:szCs w:val="17"/>
                <w:i w:val="1"/>
                <w:iCs w:val="1"/>
                <w:color w:val="auto"/>
              </w:rPr>
              <w:t>Vibecotamab</w:t>
            </w:r>
            <w:r>
              <w:rPr>
                <w:rFonts w:ascii="Times New Roman" w:cs="Times New Roman" w:eastAsia="Times New Roman" w:hAnsi="Times New Roman"/>
                <w:sz w:val="25"/>
                <w:szCs w:val="25"/>
                <w:i w:val="1"/>
                <w:iCs w:val="1"/>
                <w:color w:val="auto"/>
                <w:vertAlign w:val="superscript"/>
              </w:rPr>
              <w:t>(1)(2)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6" w:lineRule="exact"/>
              <w:rPr>
                <w:sz w:val="20"/>
                <w:szCs w:val="20"/>
                <w:color w:val="auto"/>
              </w:rPr>
            </w:pPr>
            <w:r>
              <w:rPr>
                <w:rFonts w:ascii="Times New Roman" w:cs="Times New Roman" w:eastAsia="Times New Roman" w:hAnsi="Times New Roman"/>
                <w:sz w:val="17"/>
                <w:szCs w:val="17"/>
                <w:i w:val="1"/>
                <w:iCs w:val="1"/>
                <w:color w:val="auto"/>
              </w:rPr>
              <w:t>Plamotamab</w:t>
            </w:r>
            <w:r>
              <w:rPr>
                <w:rFonts w:ascii="Times New Roman" w:cs="Times New Roman" w:eastAsia="Times New Roman" w:hAnsi="Times New Roman"/>
                <w:sz w:val="25"/>
                <w:szCs w:val="25"/>
                <w:i w:val="1"/>
                <w:iCs w:val="1"/>
                <w:color w:val="auto"/>
                <w:vertAlign w:val="superscript"/>
              </w:rPr>
              <w:t>(3)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line="216" w:lineRule="exact"/>
              <w:rPr>
                <w:sz w:val="20"/>
                <w:szCs w:val="20"/>
                <w:color w:val="auto"/>
              </w:rPr>
            </w:pPr>
            <w:r>
              <w:rPr>
                <w:rFonts w:ascii="Times New Roman" w:cs="Times New Roman" w:eastAsia="Times New Roman" w:hAnsi="Times New Roman"/>
                <w:sz w:val="17"/>
                <w:szCs w:val="17"/>
                <w:i w:val="1"/>
                <w:iCs w:val="1"/>
                <w:color w:val="auto"/>
              </w:rPr>
              <w:t>Tidutamab</w:t>
            </w:r>
            <w:r>
              <w:rPr>
                <w:rFonts w:ascii="Times New Roman" w:cs="Times New Roman" w:eastAsia="Times New Roman" w:hAnsi="Times New Roman"/>
                <w:sz w:val="25"/>
                <w:szCs w:val="25"/>
                <w:i w:val="1"/>
                <w:iCs w:val="1"/>
                <w:color w:val="auto"/>
                <w:vertAlign w:val="superscript"/>
              </w:rPr>
              <w:t>(4)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XmAb819 (ENPP3 x CD3)</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CD3 programs</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XmAb808 (B7-H3 x CD28)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Tumor micro environment (TME) activator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Vudalimab</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XmAb104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6" w:lineRule="exact"/>
              <w:rPr>
                <w:sz w:val="20"/>
                <w:szCs w:val="20"/>
                <w:color w:val="auto"/>
              </w:rPr>
            </w:pPr>
            <w:r>
              <w:rPr>
                <w:rFonts w:ascii="Times New Roman" w:cs="Times New Roman" w:eastAsia="Times New Roman" w:hAnsi="Times New Roman"/>
                <w:sz w:val="17"/>
                <w:szCs w:val="17"/>
                <w:i w:val="1"/>
                <w:iCs w:val="1"/>
                <w:color w:val="auto"/>
              </w:rPr>
              <w:t>XmAb841</w:t>
            </w:r>
            <w:r>
              <w:rPr>
                <w:rFonts w:ascii="Times New Roman" w:cs="Times New Roman" w:eastAsia="Times New Roman" w:hAnsi="Times New Roman"/>
                <w:sz w:val="25"/>
                <w:szCs w:val="25"/>
                <w:i w:val="1"/>
                <w:iCs w:val="1"/>
                <w:color w:val="auto"/>
                <w:vertAlign w:val="superscript"/>
              </w:rPr>
              <w:t>(5)</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TME activators programs</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Cytokine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6" w:lineRule="exact"/>
              <w:rPr>
                <w:sz w:val="20"/>
                <w:szCs w:val="20"/>
                <w:color w:val="auto"/>
              </w:rPr>
            </w:pPr>
            <w:r>
              <w:rPr>
                <w:rFonts w:ascii="Times New Roman" w:cs="Times New Roman" w:eastAsia="Times New Roman" w:hAnsi="Times New Roman"/>
                <w:sz w:val="17"/>
                <w:szCs w:val="17"/>
                <w:i w:val="1"/>
                <w:iCs w:val="1"/>
                <w:color w:val="auto"/>
              </w:rPr>
              <w:t>XmAb306/RG6323 programs</w:t>
            </w:r>
            <w:r>
              <w:rPr>
                <w:rFonts w:ascii="Times New Roman" w:cs="Times New Roman" w:eastAsia="Times New Roman" w:hAnsi="Times New Roman"/>
                <w:sz w:val="25"/>
                <w:szCs w:val="25"/>
                <w:i w:val="1"/>
                <w:iCs w:val="1"/>
                <w:color w:val="auto"/>
                <w:vertAlign w:val="superscript"/>
              </w:rPr>
              <w:t>(6)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XmAb564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XmAb662 (IL-12-Fc)</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cytokine programs</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 bispecific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research and early stage programs</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20" w:hanging="325"/>
        <w:spacing w:after="0"/>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are net of cost-sharing reimbursement from Novartis under the Novartis Agreement.</w:t>
      </w:r>
    </w:p>
    <w:p>
      <w:pPr>
        <w:spacing w:after="0" w:line="3" w:lineRule="exact"/>
        <w:rPr>
          <w:rFonts w:ascii="Times New Roman" w:cs="Times New Roman" w:eastAsia="Times New Roman" w:hAnsi="Times New Roman"/>
          <w:sz w:val="14"/>
          <w:szCs w:val="14"/>
          <w:color w:val="auto"/>
        </w:rPr>
      </w:pPr>
    </w:p>
    <w:p>
      <w:pPr>
        <w:ind w:left="720" w:hanging="325"/>
        <w:spacing w:after="0" w:line="221"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wind down costs of the program; the Company stopped development of the vibecotamab program in 2021.</w:t>
      </w:r>
    </w:p>
    <w:p>
      <w:pPr>
        <w:ind w:left="720" w:hanging="325"/>
        <w:spacing w:after="0" w:line="221"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are net of cost-sharing reimbursement from Janssen under the Second Janssen Agreement.</w:t>
      </w:r>
    </w:p>
    <w:p>
      <w:pPr>
        <w:ind w:left="720" w:hanging="325"/>
        <w:spacing w:after="0" w:line="221"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stopped development of the tidutamab program in the second quarter of 2022.</w:t>
      </w:r>
    </w:p>
    <w:p>
      <w:pPr>
        <w:ind w:left="720" w:hanging="325"/>
        <w:spacing w:after="0" w:line="221"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stopped development of the XmAb841 program in the second quarter of 2022.</w:t>
      </w:r>
    </w:p>
    <w:p>
      <w:pPr>
        <w:ind w:left="720" w:hanging="325"/>
        <w:spacing w:after="0"/>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share of costs paid to Genentech for cost-sharing under the Genentech Agreement.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3"/>
        </w:trPr>
        <w:tc>
          <w:tcPr>
            <w:tcW w:w="5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$3.9 million for the six months ended June 30, 2022 over the same period in 2021 primarily due to increased spending on our new development programs, XmAb808 and XmAb662, partially offset by reduced spending on our plamotamab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2022 and 2021 (in millions):</w:t>
      </w:r>
    </w:p>
    <w:p>
      <w:pPr>
        <w:spacing w:after="0" w:line="16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979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ind w:left="6120"/>
        <w:spacing w:after="0"/>
        <w:tabs>
          <w:tab w:leader="none" w:pos="7160" w:val="left"/>
          <w:tab w:leader="none" w:pos="82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ind w:left="40"/>
        <w:spacing w:after="0"/>
        <w:tabs>
          <w:tab w:leader="none" w:pos="5820" w:val="left"/>
          <w:tab w:leader="none" w:pos="6280" w:val="left"/>
          <w:tab w:leader="none" w:pos="6820" w:val="left"/>
          <w:tab w:leader="none" w:pos="7420" w:val="left"/>
          <w:tab w:leader="none" w:pos="7940" w:val="left"/>
          <w:tab w:leader="none" w:pos="8640" w:val="left"/>
        </w:tabs>
        <w:rPr>
          <w:sz w:val="20"/>
          <w:szCs w:val="20"/>
          <w:color w:val="auto"/>
        </w:rPr>
      </w:pPr>
      <w:r>
        <w:rPr>
          <w:rFonts w:ascii="Times New Roman" w:cs="Times New Roman" w:eastAsia="Times New Roman" w:hAnsi="Times New Roman"/>
          <w:sz w:val="18"/>
          <w:szCs w:val="18"/>
          <w:color w:val="auto"/>
        </w:rPr>
        <w:t>General and administrative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22.4</w:t>
        <w:tab/>
        <w:t>$</w:t>
      </w:r>
      <w:r>
        <w:rPr>
          <w:sz w:val="20"/>
          <w:szCs w:val="20"/>
          <w:color w:val="auto"/>
        </w:rPr>
        <w:tab/>
      </w:r>
      <w:r>
        <w:rPr>
          <w:rFonts w:ascii="Times New Roman" w:cs="Times New Roman" w:eastAsia="Times New Roman" w:hAnsi="Times New Roman"/>
          <w:sz w:val="18"/>
          <w:szCs w:val="18"/>
          <w:color w:val="auto"/>
        </w:rPr>
        <w:t>17.1</w:t>
        <w:tab/>
        <w:t>$</w:t>
      </w:r>
      <w:r>
        <w:rPr>
          <w:sz w:val="20"/>
          <w:szCs w:val="20"/>
          <w:color w:val="auto"/>
        </w:rPr>
        <w:tab/>
      </w:r>
      <w:r>
        <w:rPr>
          <w:rFonts w:ascii="Times New Roman" w:cs="Times New Roman" w:eastAsia="Times New Roman" w:hAnsi="Times New Roman"/>
          <w:sz w:val="18"/>
          <w:szCs w:val="18"/>
          <w:color w:val="auto"/>
        </w:rPr>
        <w:t>5.3</w:t>
      </w:r>
    </w:p>
    <w:p>
      <w:pPr>
        <w:spacing w:after="0" w:line="205"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for the six months ended June 30, 2022 over the same period in 2021 primarily due to increased general and administrative staffing and additional lease expenses.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Other income (expense), net was ($8.9) million and $56.4 million for the six months ended June 30, 2022 and 2021, respectively. Other income (expense) net for the six months ended June 30, 2022 consists primarily of unrealized loss recognized from the change in fair value of our equity investments. Other income (expense), net for the six months ended June 30, 2021 consists primarily of realized gain from the sale of an equity instrument, as well as the unrealized gain recognized from the change in our accounting for an equity investment, and unrealized gain recognized with respect to the exchange of shares without a readily determinable fair value for shares in an entity with a readily determinable fair value.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 (in thousands):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7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89,704</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5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2022 was $50.1 million, while cash used in operating activities for the six months ended June 30, 2021 was $39.6 million. The increase in cash provided by operating activities is primarily due to additional royalty revenue recognized in the six months ended June 30, 2022.</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40" w:right="55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in marketable securities available-for-sale, purchases of intangible assets, capitalization of patent and licensing costs and purchases of property and equipment.</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40" w:right="39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represents net proceeds from the exercise of stock options and ESPP purchase for the six months ended June 30, 2022 and June 30, 2021, respectively. The proceeds received from option exercises decreased by $3.9 million over the same period in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equity securities, the issuance of convertible notes, public offerings of our common stock, and payments received under our product development partnerships and licensing arrangements.</w:t>
      </w:r>
    </w:p>
    <w:p>
      <w:pPr>
        <w:spacing w:after="0" w:line="176"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2022, we had $679.7 million of cash, cash equivalents, receivables, and marketable debt securities compared to $664.1 million as of December 31, 2021. The investments in marketable debt securities are further described above in Note 5, </w:t>
      </w:r>
      <w:r>
        <w:rPr>
          <w:rFonts w:ascii="Times New Roman" w:cs="Times New Roman" w:eastAsia="Times New Roman" w:hAnsi="Times New Roman"/>
          <w:sz w:val="18"/>
          <w:szCs w:val="18"/>
          <w:i w:val="1"/>
          <w:iCs w:val="1"/>
          <w:color w:val="auto"/>
        </w:rPr>
        <w:t>Marketable Debt and Equity Securities</w:t>
      </w:r>
      <w:r>
        <w:rPr>
          <w:rFonts w:ascii="Times New Roman" w:cs="Times New Roman" w:eastAsia="Times New Roman" w:hAnsi="Times New Roman"/>
          <w:sz w:val="18"/>
          <w:szCs w:val="18"/>
          <w:color w:val="auto"/>
        </w:rPr>
        <w:t>, of Notes to Financial Statements included in this Quarterly Report on Form 10-Q. We expect to continue to receive additional payments from our collaborators for research and development services rendered, additional milestone, opt-in and contingent payments, and royalties. Our ability to receive additional milestone payments and contingent payments from our partners is dependent upon either our ability or our partners’ abilities to achieve certain levels of research and development activities and is therefore uncertain at this time.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developed by us to date and do not expect to do so until we obtain regulatory approval of and commercialize one or more of our internal product development candidates. As we are currently in the clinical stage of development, it will be some time before we expect to achieve this, and it is uncertain that we ever will commercialize one or more of our internal product development candidates. We expect that we will continue to increase our operating expenses in connection with ongoing as well as additional clinical and preclinical development of product candidates in our pipeline and also development candidates that we are co-developing with our partners.</w:t>
      </w:r>
    </w:p>
    <w:p>
      <w:pPr>
        <w:spacing w:after="0" w:line="18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Although it is difficult to predict our funding requirements, based upon our current operating plan, we expect that our existing cash, cash equivalents, marketable securities, and certain potential milestone payments will fund our operating expenses and capital expenditure requirements through the end of 2025. We have based these estimates on assumptions that may prove to be wrong, and the COVID-19 pandemic could materially alter these estimates, which would cause us to use our capital resources sooner than we currently expect.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to our specific contractual obligations during the three months ended June 30, 2022.</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our material changes in critical accounting policies, see “Recent Accounting Pronouncements”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Financial Statements included in this Quarterly Report on Form 10-Q.</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51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As required by Rule 13a-15(b) and Rule 15d-15(b) of the Exchange Act, our management, with the supervision of our Chief Executive Officer and Chief Financial Officer (our principal executive officer and principal financial officer, respectively), evaluated the effectiveness of the design and operation of our disclosure controls and procedures (as defined in Exchange Act Rule 13a-15(b) and 15d-15(e)) as of June 30, 2022. Our disclosure controls and procedures are designed to provide reasonable assurance that the information required to be disclosed in this Quarterly Report on Form 10-Q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 as of June 30, 2022.</w:t>
      </w:r>
    </w:p>
    <w:p>
      <w:pPr>
        <w:spacing w:after="0" w:line="194"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if any, within a company have been detected. Accordingly, our disclosure controls and procedures are designed to provide reasonable assurance, not absolute assurance, that the objectives of our disclosure control system are met and, as set forth above, our principal executive officer and principal financial officer have concluded, that based on their evaluation as of the end of the period covered by this Quarterly Report on Form 10-Q, our disclosure controls and procedures were effective to provide reasonable assurance that the objective of our disclosure control system were met.</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229" w:lineRule="exact"/>
        <w:rPr>
          <w:sz w:val="20"/>
          <w:szCs w:val="20"/>
          <w:color w:val="auto"/>
        </w:rPr>
      </w:pPr>
    </w:p>
    <w:p>
      <w:pPr>
        <w:ind w:left="40" w:right="79" w:firstLine="648"/>
        <w:spacing w:after="0" w:line="257" w:lineRule="auto"/>
        <w:rPr>
          <w:sz w:val="20"/>
          <w:szCs w:val="20"/>
          <w:color w:val="auto"/>
        </w:rPr>
      </w:pPr>
      <w:r>
        <w:rPr>
          <w:rFonts w:ascii="Times New Roman" w:cs="Times New Roman" w:eastAsia="Times New Roman" w:hAnsi="Times New Roman"/>
          <w:sz w:val="18"/>
          <w:szCs w:val="18"/>
          <w:color w:val="141412"/>
        </w:rPr>
        <w:t>There were no changes in our internal control over financial reporting that occurred during the three months ended June 30, 2022 that have materially affected, or are reasonably likely to materially affect, our internal control over financial reporting. Beginning March 17, 2020, a majority of our business, accounting and financial reporting employees began working remotely due to the COVID-19 pandemic. Since that time, we have not experienced any material impact to our internal controls over financial reporting. We are continually monitoring and assessing the COVID-19 situation on our internal controls to minimize the impact to their design and operating effectiveness</w:t>
      </w:r>
      <w:r>
        <w:rPr>
          <w:rFonts w:ascii="Times New Roman" w:cs="Times New Roman" w:eastAsia="Times New Roman" w:hAnsi="Times New Roman"/>
          <w:sz w:val="21"/>
          <w:szCs w:val="21"/>
          <w:color w:val="14141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40" w:right="239" w:firstLine="648"/>
        <w:spacing w:after="0" w:line="315" w:lineRule="auto"/>
        <w:rPr>
          <w:sz w:val="20"/>
          <w:szCs w:val="20"/>
          <w:color w:val="auto"/>
        </w:rPr>
      </w:pPr>
      <w:r>
        <w:rPr>
          <w:rFonts w:ascii="Times New Roman" w:cs="Times New Roman" w:eastAsia="Times New Roman" w:hAnsi="Times New Roman"/>
          <w:sz w:val="17"/>
          <w:szCs w:val="17"/>
          <w:color w:val="auto"/>
        </w:rPr>
        <w:t xml:space="preserve">The disclosure in Note 8,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of the Notes to Financial Statements included in this Quarterly Report on Form 10-Q includes a discussion of our legal proceedings and is incorporated herein by reference.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Annual Report on Form 10-K for the year ended December 31, 2021, which could materially affect our business, financial position, or future results of operations. See also “Special Note Regarding Forward-Looking Statements” included in this Quarterly Report on Form 10-Q. In addition to the risks set forth in our Annual Report on Form 10-K for the year ended December 31, 2021, additional risks and uncertainties not currently known to us or that we currently deem to be immaterial may also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8020" w:type="dxa"/>
            <w:vAlign w:val="bottom"/>
            <w:gridSpan w:val="14"/>
          </w:tcPr>
          <w:p>
            <w:pPr>
              <w:spacing w:after="0" w:line="194"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Amended and Restated Certificate of Incorporation of the Company (incorporated by reference to Exhibit 3.1</w:t>
              </w:r>
            </w:hyperlink>
          </w:p>
        </w:tc>
      </w:tr>
      <w:tr>
        <w:trPr>
          <w:trHeight w:val="196"/>
        </w:trPr>
        <w:tc>
          <w:tcPr>
            <w:tcW w:w="8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to the Company’s Current Report on Form 8-K, filed with the SEC on December 11, 2013).</w:t>
              </w:r>
            </w:hyperlink>
          </w:p>
        </w:tc>
        <w:tc>
          <w:tcPr>
            <w:tcW w:w="128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020" w:type="dxa"/>
            <w:vAlign w:val="bottom"/>
            <w:gridSpan w:val="14"/>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Bylaws of the Company (incorporated by reference to Exhibit 3.2 to the Company’s</w:t>
              </w:r>
            </w:hyperlink>
          </w:p>
        </w:tc>
      </w:tr>
      <w:tr>
        <w:trPr>
          <w:trHeight w:val="196"/>
        </w:trPr>
        <w:tc>
          <w:tcPr>
            <w:tcW w:w="880" w:type="dxa"/>
            <w:vAlign w:val="bottom"/>
          </w:tcPr>
          <w:p>
            <w:pPr>
              <w:spacing w:after="0"/>
              <w:rPr>
                <w:sz w:val="17"/>
                <w:szCs w:val="17"/>
                <w:color w:val="auto"/>
              </w:rPr>
            </w:pPr>
          </w:p>
        </w:tc>
        <w:tc>
          <w:tcPr>
            <w:tcW w:w="7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Current Report on Form 8-K, filed with the SEC on December 11, 2013).</w:t>
              </w:r>
            </w:hyperlink>
          </w:p>
        </w:tc>
        <w:tc>
          <w:tcPr>
            <w:tcW w:w="26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020" w:type="dxa"/>
            <w:vAlign w:val="bottom"/>
            <w:gridSpan w:val="14"/>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Common Stock Certificate of the Company (incorporated by reference to Exhibit 4.1 to the</w:t>
              </w:r>
            </w:hyperlink>
          </w:p>
        </w:tc>
      </w:tr>
      <w:tr>
        <w:trPr>
          <w:trHeight w:val="20"/>
        </w:trPr>
        <w:tc>
          <w:tcPr>
            <w:tcW w:w="8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Company’s Registration Statement on Form S-1, as amended (File No. 333-191689), originally filed with the</w:t>
              </w:r>
            </w:hyperlink>
          </w:p>
        </w:tc>
      </w:tr>
      <w:tr>
        <w:trPr>
          <w:trHeight w:val="196"/>
        </w:trPr>
        <w:tc>
          <w:tcPr>
            <w:tcW w:w="880" w:type="dxa"/>
            <w:vAlign w:val="bottom"/>
          </w:tcPr>
          <w:p>
            <w:pPr>
              <w:spacing w:after="0"/>
              <w:rPr>
                <w:sz w:val="17"/>
                <w:szCs w:val="17"/>
                <w:color w:val="auto"/>
              </w:rPr>
            </w:pPr>
          </w:p>
        </w:tc>
        <w:tc>
          <w:tcPr>
            <w:tcW w:w="78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SEC on October 25, 2013).</w:t>
              </w:r>
            </w:hyperlink>
          </w:p>
        </w:tc>
        <w:tc>
          <w:tcPr>
            <w:tcW w:w="16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5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Third Amended and Restated Investor Rights Agreement, dated June 26, 2013, among the Company and</w:t>
              </w:r>
            </w:hyperlink>
          </w:p>
        </w:tc>
        <w:tc>
          <w:tcPr>
            <w:tcW w:w="4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certain of its stockholders incorporated by reference to Exhibit 4.2 to the Company’s Registration Statement on</w:t>
              </w:r>
            </w:hyperlink>
          </w:p>
        </w:tc>
      </w:tr>
      <w:tr>
        <w:trPr>
          <w:trHeight w:val="196"/>
        </w:trPr>
        <w:tc>
          <w:tcPr>
            <w:tcW w:w="880" w:type="dxa"/>
            <w:vAlign w:val="bottom"/>
          </w:tcPr>
          <w:p>
            <w:pPr>
              <w:spacing w:after="0"/>
              <w:rPr>
                <w:sz w:val="17"/>
                <w:szCs w:val="17"/>
                <w:color w:val="auto"/>
              </w:rPr>
            </w:pPr>
          </w:p>
        </w:tc>
        <w:tc>
          <w:tcPr>
            <w:tcW w:w="8020" w:type="dxa"/>
            <w:vAlign w:val="bottom"/>
            <w:gridSpan w:val="1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S-1, as amended (File No. 333-191689), originally filed with the SEC on October 11, 2013).</w:t>
              </w:r>
            </w:hyperlink>
          </w:p>
        </w:tc>
      </w:tr>
      <w:tr>
        <w:trPr>
          <w:trHeight w:val="20"/>
        </w:trPr>
        <w:tc>
          <w:tcPr>
            <w:tcW w:w="88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First Amendment to Office Lease, dated May 19, 2022, by and between the Company and PRII High Bluffs</w:t>
            </w:r>
          </w:p>
        </w:tc>
      </w:tr>
      <w:tr>
        <w:trPr>
          <w:trHeight w:val="196"/>
        </w:trPr>
        <w:tc>
          <w:tcPr>
            <w:tcW w:w="880" w:type="dxa"/>
            <w:vAlign w:val="bottom"/>
          </w:tcPr>
          <w:p>
            <w:pPr>
              <w:spacing w:after="0"/>
              <w:rPr>
                <w:sz w:val="17"/>
                <w:szCs w:val="17"/>
                <w:color w:val="auto"/>
              </w:rPr>
            </w:pPr>
          </w:p>
        </w:tc>
        <w:tc>
          <w:tcPr>
            <w:tcW w:w="7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LLC and Collins Corporate Center Partners, LLC</w:t>
            </w:r>
          </w:p>
        </w:tc>
        <w:tc>
          <w:tcPr>
            <w:tcW w:w="26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Rule 13a-14(a) Certification of Principal Executive Officer</w:t>
            </w:r>
            <w:r>
              <w:rPr>
                <w:rFonts w:ascii="Times New Roman" w:cs="Times New Roman" w:eastAsia="Times New Roman" w:hAnsi="Times New Roman"/>
                <w:sz w:val="18"/>
                <w:szCs w:val="18"/>
                <w:color w:val="000000"/>
              </w:rPr>
              <w:t>.</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Rule 13a-14(a) Certification of Principal Financial Officer</w:t>
            </w:r>
            <w:r>
              <w:rPr>
                <w:rFonts w:ascii="Times New Roman" w:cs="Times New Roman" w:eastAsia="Times New Roman" w:hAnsi="Times New Roman"/>
                <w:sz w:val="18"/>
                <w:szCs w:val="18"/>
                <w:color w:val="000000"/>
                <w:w w:val="99"/>
              </w:rPr>
              <w:t>.</w:t>
            </w:r>
          </w:p>
        </w:tc>
        <w:tc>
          <w:tcPr>
            <w:tcW w:w="3760" w:type="dxa"/>
            <w:vAlign w:val="bottom"/>
            <w:gridSpan w:val="10"/>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Section 1350 Certification of Principal Executive Officer and Principal Financial Officer</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6400" w:type="dxa"/>
            <w:vAlign w:val="bottom"/>
            <w:gridSpan w:val="6"/>
            <w:shd w:val="clear" w:color="auto" w:fill="0000EE"/>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r>
      <w:tr>
        <w:trPr>
          <w:trHeight w:val="234"/>
        </w:trPr>
        <w:tc>
          <w:tcPr>
            <w:tcW w:w="880" w:type="dxa"/>
            <w:vAlign w:val="bottom"/>
          </w:tcPr>
          <w:p>
            <w:pPr>
              <w:spacing w:after="0"/>
              <w:rPr>
                <w:sz w:val="20"/>
                <w:szCs w:val="20"/>
                <w:color w:val="auto"/>
              </w:rPr>
            </w:pP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200" w:lineRule="exact"/>
        <w:rPr>
          <w:sz w:val="20"/>
          <w:szCs w:val="20"/>
          <w:color w:val="auto"/>
        </w:rPr>
      </w:pPr>
    </w:p>
    <w:p>
      <w:pPr>
        <w:spacing w:after="0" w:line="214" w:lineRule="exact"/>
        <w:rPr>
          <w:sz w:val="20"/>
          <w:szCs w:val="20"/>
          <w:color w:val="auto"/>
        </w:rPr>
      </w:pPr>
    </w:p>
    <w:p>
      <w:pPr>
        <w:ind w:left="920" w:hanging="87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4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XENCOR,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BASSIL I.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Bassil I. Dahiyat, Ph.D.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J. KUCH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John J. Kuch</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August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OFFICE LEASE</w:t>
      </w:r>
    </w:p>
    <w:p>
      <w:pPr>
        <w:spacing w:after="0" w:line="19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This First Amendment to Office Lease (this “</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xml:space="preserve">”) is made and entered into by and between </w:t>
      </w:r>
      <w:r>
        <w:rPr>
          <w:rFonts w:ascii="Times New Roman" w:cs="Times New Roman" w:eastAsia="Times New Roman" w:hAnsi="Times New Roman"/>
          <w:sz w:val="20"/>
          <w:szCs w:val="20"/>
          <w:b w:val="1"/>
          <w:bCs w:val="1"/>
          <w:color w:val="auto"/>
        </w:rPr>
        <w:t>PRII HIGH BLUFFS, LLC,</w:t>
      </w:r>
      <w:r>
        <w:rPr>
          <w:rFonts w:ascii="Times New Roman" w:cs="Times New Roman" w:eastAsia="Times New Roman" w:hAnsi="Times New Roman"/>
          <w:sz w:val="20"/>
          <w:szCs w:val="20"/>
          <w:color w:val="auto"/>
        </w:rPr>
        <w:t xml:space="preserve"> a Delaware limited liability company and </w:t>
      </w:r>
      <w:r>
        <w:rPr>
          <w:rFonts w:ascii="Times New Roman" w:cs="Times New Roman" w:eastAsia="Times New Roman" w:hAnsi="Times New Roman"/>
          <w:sz w:val="20"/>
          <w:szCs w:val="20"/>
          <w:b w:val="1"/>
          <w:bCs w:val="1"/>
          <w:color w:val="auto"/>
        </w:rPr>
        <w:t>COLLINS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CORPORATE CENTER PARTNERS, LLC</w:t>
      </w:r>
      <w:r>
        <w:rPr>
          <w:rFonts w:ascii="Times New Roman" w:cs="Times New Roman" w:eastAsia="Times New Roman" w:hAnsi="Times New Roman"/>
          <w:sz w:val="20"/>
          <w:szCs w:val="20"/>
          <w:color w:val="auto"/>
        </w:rPr>
        <w:t>, a Delaware limited liability company, as tenants in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(collectively, “</w:t>
      </w: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XENCOR, INC.,</w:t>
      </w:r>
      <w:r>
        <w:rPr>
          <w:rFonts w:ascii="Times New Roman" w:cs="Times New Roman" w:eastAsia="Times New Roman" w:hAnsi="Times New Roman"/>
          <w:sz w:val="20"/>
          <w:szCs w:val="20"/>
          <w:color w:val="auto"/>
        </w:rPr>
        <w:t xml:space="preserve"> a Delaware corporation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 to be effective on and as of the date on which Landlord executes this First Amendment as set forth on the signature page hereto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jc w:val="both"/>
        <w:ind w:left="200" w:right="239" w:firstLine="648"/>
        <w:spacing w:after="0" w:line="225" w:lineRule="auto"/>
        <w:rPr>
          <w:sz w:val="20"/>
          <w:szCs w:val="20"/>
          <w:color w:val="auto"/>
        </w:rPr>
      </w:pPr>
      <w:r>
        <w:rPr>
          <w:rFonts w:ascii="Times New Roman" w:cs="Times New Roman" w:eastAsia="Times New Roman" w:hAnsi="Times New Roman"/>
          <w:sz w:val="20"/>
          <w:szCs w:val="20"/>
          <w:color w:val="auto"/>
        </w:rPr>
        <w:t>WHEREAS, Landlord and Tenant entered into that certain Office Lease dated June 21, 2017 (the “</w:t>
      </w:r>
      <w:r>
        <w:rPr>
          <w:rFonts w:ascii="Times New Roman" w:cs="Times New Roman" w:eastAsia="Times New Roman" w:hAnsi="Times New Roman"/>
          <w:sz w:val="20"/>
          <w:szCs w:val="20"/>
          <w:u w:val="single" w:color="auto"/>
          <w:color w:val="auto"/>
        </w:rPr>
        <w:t>Lease</w:t>
      </w:r>
      <w:r>
        <w:rPr>
          <w:rFonts w:ascii="Times New Roman" w:cs="Times New Roman" w:eastAsia="Times New Roman" w:hAnsi="Times New Roman"/>
          <w:sz w:val="20"/>
          <w:szCs w:val="20"/>
          <w:color w:val="auto"/>
        </w:rPr>
        <w:t>”), pursuant to which Tenant now leases from Landlord certain premises designated as Suite 200, consisting of approximately 23,746 rentable square feet (the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20"/>
          <w:szCs w:val="20"/>
          <w:color w:val="auto"/>
        </w:rPr>
        <w:t>) floor of the building located at 12481 High Bluff Drive, San Diego, California 92130 (the “</w:t>
      </w:r>
      <w:r>
        <w:rPr>
          <w:rFonts w:ascii="Times New Roman" w:cs="Times New Roman" w:eastAsia="Times New Roman" w:hAnsi="Times New Roman"/>
          <w:sz w:val="20"/>
          <w:szCs w:val="20"/>
          <w:u w:val="single" w:color="auto"/>
          <w:color w:val="auto"/>
        </w:rPr>
        <w:t>Building</w:t>
      </w:r>
      <w:r>
        <w:rPr>
          <w:rFonts w:ascii="Times New Roman" w:cs="Times New Roman" w:eastAsia="Times New Roman" w:hAnsi="Times New Roman"/>
          <w:sz w:val="20"/>
          <w:szCs w:val="20"/>
          <w:color w:val="auto"/>
        </w:rPr>
        <w:t>”), all as more particularly described in the Lease; and</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WHEREAS, Landlord and Tenant desire to amend the terms of the Lease to, among other things, extend the Lease Term, and to modify certain other terms and provisions of the Lease, all as more particularly provided in this First Amendment below;</w:t>
      </w:r>
    </w:p>
    <w:p>
      <w:pPr>
        <w:spacing w:after="0" w:line="17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and pursuant to the foregoing, and in consideration of the mutual covenants and agreements contained in the Lease and in this First Amendment, the parties agree that, as of the Effective Date, the Lease is hereby modified and amended as set out below:</w:t>
      </w:r>
    </w:p>
    <w:p>
      <w:pPr>
        <w:spacing w:after="0" w:line="180" w:lineRule="exact"/>
        <w:rPr>
          <w:sz w:val="20"/>
          <w:szCs w:val="20"/>
          <w:color w:val="auto"/>
        </w:rPr>
      </w:pPr>
    </w:p>
    <w:p>
      <w:pPr>
        <w:ind w:left="860" w:right="239" w:hanging="651"/>
        <w:spacing w:after="0" w:line="269" w:lineRule="auto"/>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All capitalized terms used in this First Amendment shall have the same meanings ascribed to them in the Lease, unless otherwise defined in this First Amendment.</w:t>
      </w:r>
    </w:p>
    <w:p>
      <w:pPr>
        <w:spacing w:after="0" w:line="159" w:lineRule="exact"/>
        <w:rPr>
          <w:rFonts w:ascii="Times New Roman" w:cs="Times New Roman" w:eastAsia="Times New Roman" w:hAnsi="Times New Roman"/>
          <w:sz w:val="20"/>
          <w:szCs w:val="20"/>
          <w:color w:val="auto"/>
        </w:rPr>
      </w:pPr>
    </w:p>
    <w:p>
      <w:pPr>
        <w:ind w:left="860" w:right="239" w:hanging="651"/>
        <w:spacing w:after="0" w:line="269" w:lineRule="auto"/>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The recitals set forth above are true and correct and are incorporated into this First Amendment by reference as if fully set forth in this First Amendment below.</w:t>
      </w:r>
    </w:p>
    <w:p>
      <w:pPr>
        <w:spacing w:after="0" w:line="159" w:lineRule="exact"/>
        <w:rPr>
          <w:rFonts w:ascii="Times New Roman" w:cs="Times New Roman" w:eastAsia="Times New Roman" w:hAnsi="Times New Roman"/>
          <w:sz w:val="20"/>
          <w:szCs w:val="20"/>
          <w:color w:val="auto"/>
        </w:rPr>
      </w:pPr>
    </w:p>
    <w:p>
      <w:pPr>
        <w:jc w:val="both"/>
        <w:ind w:left="860" w:right="219" w:hanging="651"/>
        <w:spacing w:after="0" w:line="246" w:lineRule="auto"/>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Term</w:t>
      </w:r>
      <w:r>
        <w:rPr>
          <w:rFonts w:ascii="Times New Roman" w:cs="Times New Roman" w:eastAsia="Times New Roman" w:hAnsi="Times New Roman"/>
          <w:sz w:val="20"/>
          <w:szCs w:val="20"/>
          <w:color w:val="auto"/>
        </w:rPr>
        <w:t>. The Lease Term, which is currently scheduled to expire on August 31, 2022, is hereby extended for an additional period of sixteen (16) months commencing on September 1, 2022 (the “</w:t>
      </w:r>
      <w:r>
        <w:rPr>
          <w:rFonts w:ascii="Times New Roman" w:cs="Times New Roman" w:eastAsia="Times New Roman" w:hAnsi="Times New Roman"/>
          <w:sz w:val="20"/>
          <w:szCs w:val="20"/>
          <w:u w:val="single" w:color="auto"/>
          <w:color w:val="auto"/>
        </w:rPr>
        <w:t>Extension Term Commencement Date</w:t>
      </w:r>
      <w:r>
        <w:rPr>
          <w:rFonts w:ascii="Times New Roman" w:cs="Times New Roman" w:eastAsia="Times New Roman" w:hAnsi="Times New Roman"/>
          <w:sz w:val="20"/>
          <w:szCs w:val="20"/>
          <w:color w:val="auto"/>
        </w:rPr>
        <w:t>”) and continuing through and expiring on December 31, 2023 (such period, the “</w:t>
      </w:r>
      <w:r>
        <w:rPr>
          <w:rFonts w:ascii="Times New Roman" w:cs="Times New Roman" w:eastAsia="Times New Roman" w:hAnsi="Times New Roman"/>
          <w:sz w:val="20"/>
          <w:szCs w:val="20"/>
          <w:u w:val="single" w:color="auto"/>
          <w:color w:val="auto"/>
        </w:rPr>
        <w:t>Extension Term</w:t>
      </w:r>
      <w:r>
        <w:rPr>
          <w:rFonts w:ascii="Times New Roman" w:cs="Times New Roman" w:eastAsia="Times New Roman" w:hAnsi="Times New Roman"/>
          <w:sz w:val="20"/>
          <w:szCs w:val="20"/>
          <w:color w:val="auto"/>
        </w:rPr>
        <w:t>”), upon and subject to all of the existing terms of the Lease, as amended by this First Amendment.</w:t>
      </w:r>
    </w:p>
    <w:p>
      <w:pPr>
        <w:spacing w:after="0" w:line="184" w:lineRule="exact"/>
        <w:rPr>
          <w:rFonts w:ascii="Times New Roman" w:cs="Times New Roman" w:eastAsia="Times New Roman" w:hAnsi="Times New Roman"/>
          <w:sz w:val="20"/>
          <w:szCs w:val="20"/>
          <w:color w:val="auto"/>
        </w:rPr>
      </w:pPr>
    </w:p>
    <w:p>
      <w:pPr>
        <w:jc w:val="both"/>
        <w:ind w:left="860" w:right="219" w:hanging="651"/>
        <w:spacing w:after="0" w:line="263" w:lineRule="auto"/>
        <w:tabs>
          <w:tab w:leader="none" w:pos="8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Basic Annual Rent</w:t>
      </w:r>
      <w:r>
        <w:rPr>
          <w:rFonts w:ascii="Times New Roman" w:cs="Times New Roman" w:eastAsia="Times New Roman" w:hAnsi="Times New Roman"/>
          <w:sz w:val="19"/>
          <w:szCs w:val="19"/>
          <w:color w:val="auto"/>
        </w:rPr>
        <w:t>. For the duration of the Lease Term, as extended by the Extension Term, Tenant shall continue to pay Basic Annual Rent attributable to the Premises in accordance with the existing terms and provisions of the Lease applicable thereto; provided, however, commencing on and as of the Extension Term Commencement Date and continuing for the duration of the Extension Term, the Basic Annual Rent attributable to the Premises shall be in the following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tbl>
      <w:tblPr>
        <w:tblLayout w:type="fixed"/>
        <w:tblInd w:w="860" w:type="dxa"/>
        <w:tblCellMar>
          <w:top w:w="0" w:type="dxa"/>
          <w:left w:w="0" w:type="dxa"/>
          <w:bottom w:w="0" w:type="dxa"/>
          <w:right w:w="0" w:type="dxa"/>
        </w:tblCellMar>
      </w:tblPr>
      <w:tr>
        <w:trPr>
          <w:trHeight w:val="216"/>
        </w:trPr>
        <w:tc>
          <w:tcPr>
            <w:tcW w:w="230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Period</w:t>
            </w:r>
          </w:p>
        </w:tc>
        <w:tc>
          <w:tcPr>
            <w:tcW w:w="2400" w:type="dxa"/>
            <w:vAlign w:val="bottom"/>
            <w:tcBorders>
              <w:top w:val="single" w:sz="8" w:color="auto"/>
            </w:tcBorders>
          </w:tcPr>
          <w:p>
            <w:pPr>
              <w:jc w:val="center"/>
              <w:ind w:left="41"/>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Monthly Basic Annual</w:t>
            </w:r>
          </w:p>
        </w:tc>
        <w:tc>
          <w:tcPr>
            <w:tcW w:w="2460" w:type="dxa"/>
            <w:vAlign w:val="bottom"/>
            <w:tcBorders>
              <w:top w:val="single" w:sz="8" w:color="auto"/>
            </w:tcBorders>
          </w:tcPr>
          <w:p>
            <w:pPr>
              <w:jc w:val="center"/>
              <w:ind w:left="21"/>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Approx. Monthly Rate Per</w:t>
            </w:r>
          </w:p>
        </w:tc>
      </w:tr>
      <w:tr>
        <w:trPr>
          <w:trHeight w:val="256"/>
        </w:trPr>
        <w:tc>
          <w:tcPr>
            <w:tcW w:w="23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rPr>
              <w:t>Rent*</w:t>
            </w:r>
          </w:p>
        </w:tc>
        <w:tc>
          <w:tcPr>
            <w:tcW w:w="246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Rentable Sq. Ft.</w:t>
            </w:r>
          </w:p>
        </w:tc>
      </w:tr>
      <w:tr>
        <w:trPr>
          <w:trHeight w:val="223"/>
        </w:trPr>
        <w:tc>
          <w:tcPr>
            <w:tcW w:w="23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09/01/22 – 08/31/23</w:t>
            </w:r>
          </w:p>
        </w:tc>
        <w:tc>
          <w:tcPr>
            <w:tcW w:w="2400" w:type="dxa"/>
            <w:vAlign w:val="bottom"/>
            <w:tcBorders>
              <w:bottom w:val="single" w:sz="8" w:color="auto"/>
            </w:tcBorders>
          </w:tcPr>
          <w:p>
            <w:pPr>
              <w:jc w:val="center"/>
              <w:ind w:left="61"/>
              <w:spacing w:after="0" w:line="223" w:lineRule="exact"/>
              <w:rPr>
                <w:sz w:val="20"/>
                <w:szCs w:val="20"/>
                <w:color w:val="auto"/>
              </w:rPr>
            </w:pPr>
            <w:r>
              <w:rPr>
                <w:rFonts w:ascii="Times New Roman" w:cs="Times New Roman" w:eastAsia="Times New Roman" w:hAnsi="Times New Roman"/>
                <w:sz w:val="20"/>
                <w:szCs w:val="20"/>
                <w:color w:val="auto"/>
                <w:w w:val="99"/>
              </w:rPr>
              <w:t>$102,107.80</w:t>
            </w:r>
          </w:p>
        </w:tc>
        <w:tc>
          <w:tcPr>
            <w:tcW w:w="2460" w:type="dxa"/>
            <w:vAlign w:val="bottom"/>
            <w:tcBorders>
              <w:bottom w:val="single" w:sz="8" w:color="auto"/>
            </w:tcBorders>
          </w:tcPr>
          <w:p>
            <w:pPr>
              <w:jc w:val="center"/>
              <w:ind w:left="1"/>
              <w:spacing w:after="0" w:line="223" w:lineRule="exact"/>
              <w:rPr>
                <w:sz w:val="20"/>
                <w:szCs w:val="20"/>
                <w:color w:val="auto"/>
              </w:rPr>
            </w:pPr>
            <w:r>
              <w:rPr>
                <w:rFonts w:ascii="Times New Roman" w:cs="Times New Roman" w:eastAsia="Times New Roman" w:hAnsi="Times New Roman"/>
                <w:sz w:val="20"/>
                <w:szCs w:val="20"/>
                <w:color w:val="auto"/>
                <w:w w:val="97"/>
              </w:rPr>
              <w:t>$4.30</w:t>
            </w:r>
          </w:p>
        </w:tc>
      </w:tr>
      <w:tr>
        <w:trPr>
          <w:trHeight w:val="233"/>
        </w:trPr>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09/01/23 – 12/31/23</w:t>
            </w:r>
          </w:p>
        </w:tc>
        <w:tc>
          <w:tcPr>
            <w:tcW w:w="240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9"/>
              </w:rPr>
              <w:t>$105,171.03</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$4.43</w:t>
            </w:r>
          </w:p>
        </w:tc>
      </w:tr>
    </w:tbl>
    <w:p>
      <w:pPr>
        <w:jc w:val="both"/>
        <w:ind w:left="860" w:right="219"/>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1459865</wp:posOffset>
            </wp:positionH>
            <wp:positionV relativeFrom="page">
              <wp:posOffset>568960</wp:posOffset>
            </wp:positionV>
            <wp:extent cx="4551680" cy="617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4551680" cy="617220"/>
                    </a:xfrm>
                    <a:prstGeom prst="rect">
                      <a:avLst/>
                    </a:prstGeom>
                    <a:noFill/>
                  </pic:spPr>
                </pic:pic>
              </a:graphicData>
            </a:graphic>
          </wp:anchor>
        </w:drawing>
        <w:t>*Landlord and Tenant acknowledge that the initial “Monthly Basic Annual Rent” was calculated by multiplying the stipulated rentable square footage of the Premises (23,746 rentable square feet) by the initial “Monthly Rate Per Rentable Square Foot” in the table above, and then the succeeding amounts for each column were calculated by escalating the initial amounts by 3.0%.</w:t>
      </w:r>
    </w:p>
    <w:p>
      <w:pPr>
        <w:spacing w:after="0" w:line="197" w:lineRule="exact"/>
        <w:rPr>
          <w:sz w:val="20"/>
          <w:szCs w:val="20"/>
          <w:color w:val="auto"/>
        </w:rPr>
      </w:pPr>
    </w:p>
    <w:p>
      <w:pPr>
        <w:jc w:val="both"/>
        <w:ind w:left="860" w:right="219" w:hanging="651"/>
        <w:spacing w:after="0" w:line="249" w:lineRule="auto"/>
        <w:tabs>
          <w:tab w:leader="none" w:pos="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Rent</w:t>
      </w:r>
      <w:r>
        <w:rPr>
          <w:rFonts w:ascii="Times New Roman" w:cs="Times New Roman" w:eastAsia="Times New Roman" w:hAnsi="Times New Roman"/>
          <w:sz w:val="20"/>
          <w:szCs w:val="20"/>
          <w:color w:val="auto"/>
        </w:rPr>
        <w:t>. For the duration of the Lease Term, as extended by the Extension Term, Tenant shall continue to pay Additional Rent, including, without limitation, Tenant’s Proportionate Share of Operating Costs, in accordance with the existing terms and provisions of the Lease applicable to the calculation thereof.</w:t>
      </w:r>
    </w:p>
    <w:p>
      <w:pPr>
        <w:spacing w:after="0" w:line="179" w:lineRule="exact"/>
        <w:rPr>
          <w:rFonts w:ascii="Times New Roman" w:cs="Times New Roman" w:eastAsia="Times New Roman" w:hAnsi="Times New Roman"/>
          <w:sz w:val="20"/>
          <w:szCs w:val="20"/>
          <w:color w:val="auto"/>
        </w:rPr>
      </w:pPr>
    </w:p>
    <w:p>
      <w:pPr>
        <w:jc w:val="both"/>
        <w:ind w:left="860" w:right="219" w:hanging="651"/>
        <w:spacing w:after="0" w:line="243" w:lineRule="auto"/>
        <w:tabs>
          <w:tab w:leader="none" w:pos="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 of the Premises</w:t>
      </w:r>
      <w:r>
        <w:rPr>
          <w:rFonts w:ascii="Times New Roman" w:cs="Times New Roman" w:eastAsia="Times New Roman" w:hAnsi="Times New Roman"/>
          <w:sz w:val="20"/>
          <w:szCs w:val="20"/>
          <w:color w:val="auto"/>
        </w:rPr>
        <w:t xml:space="preserve">. Tenant is currently in possession of the Premises and, for the Extension Term, Tenant continues to lease from Landlord the Premises in its existing “AS-IS,” “WHERE-IS,” and “WITH ALL FAULTS” condition, and Tenant acknowledges that Landlord shall have no obligation to refurbish or otherwise improve the Premises or provide allowances after the Effective Date hereof. Tenant acknowledges and agrees that any and all obligations of Landlord in the Lease to perform improvements or provide allowances, if any, have been satisfied, including, without limitation, Landlord’s obligation to pay the Landlord’s Construction Allowance set forth in </w:t>
      </w:r>
      <w:r>
        <w:rPr>
          <w:rFonts w:ascii="Times New Roman" w:cs="Times New Roman" w:eastAsia="Times New Roman" w:hAnsi="Times New Roman"/>
          <w:sz w:val="20"/>
          <w:szCs w:val="20"/>
          <w:i w:val="1"/>
          <w:iCs w:val="1"/>
          <w:u w:val="single" w:color="auto"/>
          <w:color w:val="auto"/>
        </w:rPr>
        <w:t>Item 18</w:t>
      </w:r>
      <w:r>
        <w:rPr>
          <w:rFonts w:ascii="Times New Roman" w:cs="Times New Roman" w:eastAsia="Times New Roman" w:hAnsi="Times New Roman"/>
          <w:sz w:val="20"/>
          <w:szCs w:val="20"/>
          <w:color w:val="auto"/>
        </w:rPr>
        <w:t xml:space="preserve"> of the Basic Lease Provisions and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the Lease.</w:t>
      </w:r>
    </w:p>
    <w:p>
      <w:pPr>
        <w:spacing w:after="0" w:line="189" w:lineRule="exact"/>
        <w:rPr>
          <w:rFonts w:ascii="Times New Roman" w:cs="Times New Roman" w:eastAsia="Times New Roman" w:hAnsi="Times New Roman"/>
          <w:sz w:val="20"/>
          <w:szCs w:val="20"/>
          <w:color w:val="auto"/>
        </w:rPr>
      </w:pPr>
    </w:p>
    <w:p>
      <w:pPr>
        <w:jc w:val="both"/>
        <w:ind w:left="860" w:right="239" w:hanging="651"/>
        <w:spacing w:after="0" w:line="254" w:lineRule="auto"/>
        <w:tabs>
          <w:tab w:leader="none" w:pos="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Landlord’s Address for Notices</w:t>
      </w:r>
      <w:r>
        <w:rPr>
          <w:rFonts w:ascii="Times New Roman" w:cs="Times New Roman" w:eastAsia="Times New Roman" w:hAnsi="Times New Roman"/>
          <w:sz w:val="20"/>
          <w:szCs w:val="20"/>
          <w:color w:val="auto"/>
        </w:rPr>
        <w:t xml:space="preserve">. Landlord’s address for all notices to be delivered under the Lease, originally set forth in </w:t>
      </w:r>
      <w:r>
        <w:rPr>
          <w:rFonts w:ascii="Times New Roman" w:cs="Times New Roman" w:eastAsia="Times New Roman" w:hAnsi="Times New Roman"/>
          <w:sz w:val="20"/>
          <w:szCs w:val="20"/>
          <w:i w:val="1"/>
          <w:iCs w:val="1"/>
          <w:u w:val="single" w:color="auto"/>
          <w:color w:val="auto"/>
        </w:rPr>
        <w:t>Item 14</w:t>
      </w:r>
      <w:r>
        <w:rPr>
          <w:rFonts w:ascii="Times New Roman" w:cs="Times New Roman" w:eastAsia="Times New Roman" w:hAnsi="Times New Roman"/>
          <w:sz w:val="20"/>
          <w:szCs w:val="20"/>
          <w:color w:val="auto"/>
        </w:rPr>
        <w:t xml:space="preserve"> of the Basic Lease Provisions of the Lease, is hereby amended to be as follows (or to such other address that Landlord may later designate in writing):</w:t>
      </w:r>
    </w:p>
    <w:p>
      <w:pPr>
        <w:spacing w:after="0" w:line="17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PRII High Bluffs LLC</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c/o PGIM Real Estate</w:t>
      </w:r>
    </w:p>
    <w:p>
      <w:pPr>
        <w:ind w:left="2160"/>
        <w:spacing w:after="0" w:line="184" w:lineRule="auto"/>
        <w:rPr>
          <w:sz w:val="20"/>
          <w:szCs w:val="20"/>
          <w:color w:val="auto"/>
        </w:rPr>
      </w:pPr>
      <w:r>
        <w:rPr>
          <w:rFonts w:ascii="Times New Roman" w:cs="Times New Roman" w:eastAsia="Times New Roman" w:hAnsi="Times New Roman"/>
          <w:sz w:val="18"/>
          <w:szCs w:val="18"/>
          <w:color w:val="auto"/>
        </w:rPr>
        <w:t>101 California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2160"/>
        <w:spacing w:after="0"/>
        <w:rPr>
          <w:sz w:val="20"/>
          <w:szCs w:val="20"/>
          <w:color w:val="auto"/>
        </w:rPr>
      </w:pPr>
      <w:r>
        <w:rPr>
          <w:rFonts w:ascii="Times New Roman" w:cs="Times New Roman" w:eastAsia="Times New Roman" w:hAnsi="Times New Roman"/>
          <w:sz w:val="20"/>
          <w:szCs w:val="20"/>
          <w:color w:val="auto"/>
        </w:rPr>
        <w:t>San Francisco, CA 94111</w:t>
      </w:r>
    </w:p>
    <w:p>
      <w:pPr>
        <w:ind w:left="2160"/>
        <w:spacing w:after="0"/>
        <w:rPr>
          <w:sz w:val="20"/>
          <w:szCs w:val="20"/>
          <w:color w:val="auto"/>
        </w:rPr>
      </w:pPr>
      <w:r>
        <w:rPr>
          <w:rFonts w:ascii="Times New Roman" w:cs="Times New Roman" w:eastAsia="Times New Roman" w:hAnsi="Times New Roman"/>
          <w:sz w:val="20"/>
          <w:szCs w:val="20"/>
          <w:color w:val="auto"/>
        </w:rPr>
        <w:t>Attention: PRISA II Asset Manager</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u w:val="single" w:color="auto"/>
          <w:color w:val="auto"/>
        </w:rPr>
        <w:t>with copies to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PRII High Bluffs LLC</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c/o PGIM Real Estate</w:t>
      </w:r>
    </w:p>
    <w:p>
      <w:pPr>
        <w:ind w:left="2160"/>
        <w:spacing w:after="0"/>
        <w:rPr>
          <w:sz w:val="20"/>
          <w:szCs w:val="20"/>
          <w:color w:val="auto"/>
        </w:rPr>
      </w:pPr>
      <w:r>
        <w:rPr>
          <w:rFonts w:ascii="Times New Roman" w:cs="Times New Roman" w:eastAsia="Times New Roman" w:hAnsi="Times New Roman"/>
          <w:sz w:val="20"/>
          <w:szCs w:val="20"/>
          <w:color w:val="auto"/>
        </w:rPr>
        <w:t>7 Giralda Farms</w:t>
      </w:r>
    </w:p>
    <w:p>
      <w:pPr>
        <w:ind w:left="2160"/>
        <w:spacing w:after="0"/>
        <w:rPr>
          <w:sz w:val="20"/>
          <w:szCs w:val="20"/>
          <w:color w:val="auto"/>
        </w:rPr>
      </w:pPr>
      <w:r>
        <w:rPr>
          <w:rFonts w:ascii="Times New Roman" w:cs="Times New Roman" w:eastAsia="Times New Roman" w:hAnsi="Times New Roman"/>
          <w:sz w:val="20"/>
          <w:szCs w:val="20"/>
          <w:color w:val="auto"/>
        </w:rPr>
        <w:t>Madison, NJ 07940</w:t>
      </w:r>
    </w:p>
    <w:p>
      <w:pPr>
        <w:ind w:left="2160"/>
        <w:spacing w:after="0"/>
        <w:rPr>
          <w:sz w:val="20"/>
          <w:szCs w:val="20"/>
          <w:color w:val="auto"/>
        </w:rPr>
      </w:pPr>
      <w:r>
        <w:rPr>
          <w:rFonts w:ascii="Times New Roman" w:cs="Times New Roman" w:eastAsia="Times New Roman" w:hAnsi="Times New Roman"/>
          <w:sz w:val="20"/>
          <w:szCs w:val="20"/>
          <w:color w:val="auto"/>
        </w:rPr>
        <w:t>Attention: Legal</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PRII High Bluffs LLC</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c/o Unire Real Estate Group, Inc.</w:t>
      </w:r>
    </w:p>
    <w:p>
      <w:pPr>
        <w:ind w:left="2160"/>
        <w:spacing w:after="0"/>
        <w:rPr>
          <w:sz w:val="20"/>
          <w:szCs w:val="20"/>
          <w:color w:val="auto"/>
        </w:rPr>
      </w:pPr>
      <w:r>
        <w:rPr>
          <w:rFonts w:ascii="Times New Roman" w:cs="Times New Roman" w:eastAsia="Times New Roman" w:hAnsi="Times New Roman"/>
          <w:sz w:val="20"/>
          <w:szCs w:val="20"/>
          <w:color w:val="auto"/>
        </w:rPr>
        <w:t>675 Placentia Avenue, Suite 200</w:t>
      </w:r>
    </w:p>
    <w:p>
      <w:pPr>
        <w:ind w:left="2160"/>
        <w:spacing w:after="0"/>
        <w:rPr>
          <w:sz w:val="20"/>
          <w:szCs w:val="20"/>
          <w:color w:val="auto"/>
        </w:rPr>
      </w:pPr>
      <w:r>
        <w:rPr>
          <w:rFonts w:ascii="Times New Roman" w:cs="Times New Roman" w:eastAsia="Times New Roman" w:hAnsi="Times New Roman"/>
          <w:sz w:val="20"/>
          <w:szCs w:val="20"/>
          <w:color w:val="auto"/>
        </w:rPr>
        <w:t>Brea, CA 92821</w:t>
      </w:r>
    </w:p>
    <w:p>
      <w:pPr>
        <w:ind w:left="2160"/>
        <w:spacing w:after="0"/>
        <w:rPr>
          <w:sz w:val="20"/>
          <w:szCs w:val="20"/>
          <w:color w:val="auto"/>
        </w:rPr>
      </w:pPr>
      <w:r>
        <w:rPr>
          <w:rFonts w:ascii="Times New Roman" w:cs="Times New Roman" w:eastAsia="Times New Roman" w:hAnsi="Times New Roman"/>
          <w:sz w:val="20"/>
          <w:szCs w:val="20"/>
          <w:color w:val="auto"/>
        </w:rPr>
        <w:t>Attn: Mark Harryman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43" w:name="page44"/>
    <w:bookmarkEnd w:id="43"/>
    <w:p>
      <w:pPr>
        <w:jc w:val="both"/>
        <w:ind w:left="860" w:right="219" w:hanging="651"/>
        <w:spacing w:after="0" w:line="243" w:lineRule="auto"/>
        <w:tabs>
          <w:tab w:leader="none" w:pos="8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Preferential Rights or Options</w:t>
      </w:r>
      <w:r>
        <w:rPr>
          <w:rFonts w:ascii="Times New Roman" w:cs="Times New Roman" w:eastAsia="Times New Roman" w:hAnsi="Times New Roman"/>
          <w:sz w:val="20"/>
          <w:szCs w:val="20"/>
          <w:color w:val="auto"/>
        </w:rPr>
        <w:t xml:space="preserve">. Notwithstanding anything contained in the Lease to the contrary, Landlord and Tenant stipulate and agree that Tenant has no preferential rights or options under the Lease, as herein amended, such as any rights of renewal, expansion, reduction, refusal, offer, purchase, cancellation, termination, relocation, or any other such preferential rights or options; such rights or options originally set forth in the Lease, including, without limitation, the extension option set forth on </w:t>
      </w:r>
      <w:r>
        <w:rPr>
          <w:rFonts w:ascii="Times New Roman" w:cs="Times New Roman" w:eastAsia="Times New Roman" w:hAnsi="Times New Roman"/>
          <w:sz w:val="20"/>
          <w:szCs w:val="20"/>
          <w:u w:val="single" w:color="auto"/>
          <w:color w:val="auto"/>
        </w:rPr>
        <w:t>Addendum One</w:t>
      </w:r>
      <w:r>
        <w:rPr>
          <w:rFonts w:ascii="Times New Roman" w:cs="Times New Roman" w:eastAsia="Times New Roman" w:hAnsi="Times New Roman"/>
          <w:sz w:val="20"/>
          <w:szCs w:val="20"/>
          <w:color w:val="auto"/>
        </w:rPr>
        <w:t xml:space="preserve"> to the Lease and the right of first offer set forth on </w:t>
      </w:r>
      <w:r>
        <w:rPr>
          <w:rFonts w:ascii="Times New Roman" w:cs="Times New Roman" w:eastAsia="Times New Roman" w:hAnsi="Times New Roman"/>
          <w:sz w:val="20"/>
          <w:szCs w:val="20"/>
          <w:u w:val="single" w:color="auto"/>
          <w:color w:val="auto"/>
        </w:rPr>
        <w:t>Addendum Two</w:t>
      </w:r>
      <w:r>
        <w:rPr>
          <w:rFonts w:ascii="Times New Roman" w:cs="Times New Roman" w:eastAsia="Times New Roman" w:hAnsi="Times New Roman"/>
          <w:sz w:val="20"/>
          <w:szCs w:val="20"/>
          <w:color w:val="auto"/>
        </w:rPr>
        <w:t xml:space="preserve"> to the Lease, being hereby null and void in their entirety and of no further force or effect.</w:t>
      </w:r>
    </w:p>
    <w:p>
      <w:pPr>
        <w:spacing w:after="0" w:line="189" w:lineRule="exact"/>
        <w:rPr>
          <w:rFonts w:ascii="Times New Roman" w:cs="Times New Roman" w:eastAsia="Times New Roman" w:hAnsi="Times New Roman"/>
          <w:sz w:val="20"/>
          <w:szCs w:val="20"/>
          <w:color w:val="auto"/>
        </w:rPr>
      </w:pPr>
    </w:p>
    <w:p>
      <w:pPr>
        <w:jc w:val="both"/>
        <w:ind w:left="860" w:right="219" w:hanging="651"/>
        <w:spacing w:after="0" w:line="254" w:lineRule="auto"/>
        <w:tabs>
          <w:tab w:leader="none" w:pos="8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CASp Disclosure</w:t>
      </w:r>
      <w:r>
        <w:rPr>
          <w:rFonts w:ascii="Times New Roman" w:cs="Times New Roman" w:eastAsia="Times New Roman" w:hAnsi="Times New Roman"/>
          <w:sz w:val="20"/>
          <w:szCs w:val="20"/>
          <w:color w:val="auto"/>
        </w:rPr>
        <w:t>. As of the Effective Date, the Premises has not undergone an inspection by a Certified Access Specialist (CASp). In accordance with California Civil Code Section 1938, Landlord makes the following disclosure to Tenant:</w:t>
      </w:r>
    </w:p>
    <w:p>
      <w:pPr>
        <w:spacing w:after="0" w:line="174" w:lineRule="exact"/>
        <w:rPr>
          <w:sz w:val="20"/>
          <w:szCs w:val="20"/>
          <w:color w:val="auto"/>
        </w:rPr>
      </w:pPr>
    </w:p>
    <w:p>
      <w:pPr>
        <w:jc w:val="both"/>
        <w:ind w:left="1500" w:right="219"/>
        <w:spacing w:after="0" w:line="242" w:lineRule="auto"/>
        <w:rPr>
          <w:sz w:val="20"/>
          <w:szCs w:val="20"/>
          <w:color w:val="auto"/>
        </w:rPr>
      </w:pPr>
      <w:r>
        <w:rPr>
          <w:rFonts w:ascii="Times New Roman" w:cs="Times New Roman" w:eastAsia="Times New Roman" w:hAnsi="Times New Roman"/>
          <w:sz w:val="20"/>
          <w:szCs w:val="20"/>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92" w:lineRule="exact"/>
        <w:rPr>
          <w:sz w:val="20"/>
          <w:szCs w:val="20"/>
          <w:color w:val="auto"/>
        </w:rPr>
      </w:pPr>
    </w:p>
    <w:p>
      <w:pPr>
        <w:jc w:val="both"/>
        <w:ind w:left="860" w:right="219"/>
        <w:spacing w:after="0" w:line="245" w:lineRule="auto"/>
        <w:rPr>
          <w:sz w:val="20"/>
          <w:szCs w:val="20"/>
          <w:color w:val="auto"/>
        </w:rPr>
      </w:pPr>
      <w:r>
        <w:rPr>
          <w:rFonts w:ascii="Times New Roman" w:cs="Times New Roman" w:eastAsia="Times New Roman" w:hAnsi="Times New Roman"/>
          <w:sz w:val="20"/>
          <w:szCs w:val="20"/>
          <w:color w:val="auto"/>
        </w:rPr>
        <w:t>Except as otherwise expressly agreed upon in writing by Landlord, Landlord shall not have any obligation for the payment of the CASp fee or the cost of making repairs pursuant thereto, nor shall Landlord have any liability to Tenant arising out of or related to the fact that neither the Building nor the Premises has been inspected by a CASp, and Tenant waives all such liability and acknowledges that Tenant shall have no recourse against Landlord or the Building as a result of or in connection therewith.</w:t>
      </w:r>
    </w:p>
    <w:p>
      <w:pPr>
        <w:spacing w:after="0" w:line="184" w:lineRule="exact"/>
        <w:rPr>
          <w:sz w:val="20"/>
          <w:szCs w:val="20"/>
          <w:color w:val="auto"/>
        </w:rPr>
      </w:pPr>
    </w:p>
    <w:p>
      <w:pPr>
        <w:jc w:val="both"/>
        <w:ind w:left="860" w:right="219" w:hanging="651"/>
        <w:spacing w:after="0" w:line="245"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Estoppel</w:t>
      </w:r>
      <w:r>
        <w:rPr>
          <w:rFonts w:ascii="Times New Roman" w:cs="Times New Roman" w:eastAsia="Times New Roman" w:hAnsi="Times New Roman"/>
          <w:sz w:val="20"/>
          <w:szCs w:val="20"/>
          <w:color w:val="auto"/>
        </w:rPr>
        <w:t>. Tenant hereby represents, warrants, and agrees that: (i) there exists no breach, default, or event of default by Landlord under the Lease, or any event or condition which, with the giving of notice or passage of time or both, would constitute a breach, default, or event of default by Landlord under the Lease; (ii) the Lease continues to be a legal, valid, and binding agreement and obligation of Tenant; and (iii) Tenant has no current offset or defense to its performance or obligations under the Lease.</w:t>
      </w:r>
    </w:p>
    <w:p>
      <w:pPr>
        <w:spacing w:after="0" w:line="184" w:lineRule="exact"/>
        <w:rPr>
          <w:rFonts w:ascii="Times New Roman" w:cs="Times New Roman" w:eastAsia="Times New Roman" w:hAnsi="Times New Roman"/>
          <w:sz w:val="20"/>
          <w:szCs w:val="20"/>
          <w:color w:val="auto"/>
        </w:rPr>
      </w:pPr>
    </w:p>
    <w:p>
      <w:pPr>
        <w:jc w:val="both"/>
        <w:ind w:left="860" w:right="239" w:hanging="651"/>
        <w:spacing w:after="0" w:line="245"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Tenant warrants that it has had no dealings with any broker or agent other than Jones Lang LaSalle Brokerage, Inc. and Cushman &amp; Wakefield (collectively, the “</w:t>
      </w: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in connection with the negotiation or execution of this First Amendment, and Tenant agrees to indemnify Landlord and hold Landlord harmless from and against any and all costs, expenses or liability for commissions or other compensations or charges claimed by any broker or agent, other than Brokers, with respect to this First Amendment.</w:t>
      </w:r>
    </w:p>
    <w:p>
      <w:pPr>
        <w:spacing w:after="0" w:line="184" w:lineRule="exact"/>
        <w:rPr>
          <w:rFonts w:ascii="Times New Roman" w:cs="Times New Roman" w:eastAsia="Times New Roman" w:hAnsi="Times New Roman"/>
          <w:sz w:val="20"/>
          <w:szCs w:val="20"/>
          <w:color w:val="auto"/>
        </w:rPr>
      </w:pPr>
    </w:p>
    <w:p>
      <w:pPr>
        <w:jc w:val="both"/>
        <w:ind w:left="860" w:right="219" w:hanging="651"/>
        <w:spacing w:after="0" w:line="254"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Cannabis</w:t>
      </w:r>
      <w:r>
        <w:rPr>
          <w:rFonts w:ascii="Times New Roman" w:cs="Times New Roman" w:eastAsia="Times New Roman" w:hAnsi="Times New Roman"/>
          <w:sz w:val="20"/>
          <w:szCs w:val="20"/>
          <w:color w:val="auto"/>
        </w:rPr>
        <w:t>. Tenant agrees that the Premises shall not be used for the use, growing, producing, processing, storing (short or long term), distributing, transporting, or selling of cannabis, cannabis derivatives, or any cannabis containing substances, or any office uses related to the same.</w:t>
      </w:r>
    </w:p>
    <w:p>
      <w:pPr>
        <w:spacing w:after="0" w:line="174" w:lineRule="exact"/>
        <w:rPr>
          <w:rFonts w:ascii="Times New Roman" w:cs="Times New Roman" w:eastAsia="Times New Roman" w:hAnsi="Times New Roman"/>
          <w:sz w:val="20"/>
          <w:szCs w:val="20"/>
          <w:color w:val="auto"/>
        </w:rPr>
      </w:pPr>
    </w:p>
    <w:p>
      <w:pPr>
        <w:ind w:left="860" w:right="219" w:hanging="651"/>
        <w:spacing w:after="0" w:line="269"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Tenant represents, warrants and covenants to Landlord and the Landlord Entities that, as of the date hereof and throughout the Term of the Lease, Tenant is not, and is not entering into this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873" w:right="1440" w:bottom="1440" w:gutter="0" w:footer="0" w:header="0"/>
        </w:sectPr>
      </w:pP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44" w:name="page45"/>
    <w:bookmarkEnd w:id="44"/>
    <w:p>
      <w:pPr>
        <w:jc w:val="both"/>
        <w:ind w:left="860" w:right="219"/>
        <w:spacing w:after="0" w:line="241" w:lineRule="auto"/>
        <w:rPr>
          <w:sz w:val="20"/>
          <w:szCs w:val="20"/>
          <w:color w:val="auto"/>
        </w:rPr>
      </w:pPr>
      <w:r>
        <w:rPr>
          <w:rFonts w:ascii="Times New Roman" w:cs="Times New Roman" w:eastAsia="Times New Roman" w:hAnsi="Times New Roman"/>
          <w:sz w:val="20"/>
          <w:szCs w:val="20"/>
          <w:color w:val="auto"/>
        </w:rPr>
        <w:t xml:space="preserve">First Amendment on behalf of, (i) an employee benefit plan, (ii) a trust holding assets of such a plan or (iii) an entity holding assets of such a plan. Notwithstanding any terms to the contrary in the Lease or in this First Amendment, in no event may Tenant assign or otherwise transfer its interest under the Lease to a third party who is, or is entering into the assignment or Lease on behalf of, (a) an employee benefit plan, (b) a trust holding assets of such a plan or (c) an entity holding assets of such a plan if such assignment or other transfer would or could cause Landlord to incur any prohibited transaction excise tax penalties or other materially adverse consequences under the Employee Retirement Income Security Act of 1974, as amended, Section 4975 of the Internal Revenue Code of 1986, as amended or similar law. Notwithstanding any provision in the Lease or this First Amendment to the contrary, the representations, warranties, covenants and agreements set forth in this Section are intended to inure to the benefit of both Landlord and the Landlord Entities and the Landlord Entities shall be entitled to rely hereon and enforce the provisions of this Section. Tenant acknowledges and agrees that as a condition to the effectiveness of any assignment of, or sublease under, the Lease or any other transfer or change of control, and as a requirement and condition of the effectiveness of any consent to assignment, sublease, transfer, or change of control by Landlord pursuant to the Lease, Tenant shall reaffirm or cause the assignee, sublessee, or transferee, as applicable, to reaffirm, on behalf of itself or such assignee, sublessee, or transferee, as applicable, the representations of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below, and it shall be reasonable for Landlord to refuse to consent to an assignment, sublease, transfer, or change of control in the absence of such reaffirmation.</w:t>
      </w:r>
    </w:p>
    <w:p>
      <w:pPr>
        <w:spacing w:after="0" w:line="187" w:lineRule="exact"/>
        <w:rPr>
          <w:sz w:val="20"/>
          <w:szCs w:val="20"/>
          <w:color w:val="auto"/>
        </w:rPr>
      </w:pPr>
    </w:p>
    <w:p>
      <w:pPr>
        <w:ind w:left="860" w:hanging="651"/>
        <w:spacing w:after="0"/>
        <w:tabs>
          <w:tab w:leader="none" w:pos="8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 Compliance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OFAC Compliance</w:t>
      </w:r>
      <w:r>
        <w:rPr>
          <w:rFonts w:ascii="Times New Roman" w:cs="Times New Roman" w:eastAsia="Times New Roman" w:hAnsi="Times New Roman"/>
          <w:sz w:val="20"/>
          <w:szCs w:val="20"/>
          <w:color w:val="auto"/>
        </w:rPr>
        <w:t>. Tenant certifies, represents, warrants and covenants to Landlord that:</w:t>
      </w:r>
    </w:p>
    <w:p>
      <w:pPr>
        <w:spacing w:after="0" w:line="21" w:lineRule="exact"/>
        <w:rPr>
          <w:rFonts w:ascii="Times New Roman" w:cs="Times New Roman" w:eastAsia="Times New Roman" w:hAnsi="Times New Roman"/>
          <w:sz w:val="20"/>
          <w:szCs w:val="20"/>
          <w:color w:val="auto"/>
        </w:rPr>
      </w:pPr>
    </w:p>
    <w:p>
      <w:pPr>
        <w:jc w:val="both"/>
        <w:ind w:left="1500" w:right="219" w:firstLine="5"/>
        <w:spacing w:after="0" w:line="239" w:lineRule="auto"/>
        <w:tabs>
          <w:tab w:leader="none" w:pos="1761"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and shall not during the Lease Term become, a person or entity with whom Landlord is restricted from doing business under the Uniting and Strengthening America by Providing Appropriate Tools Required to Intercept and Obstruct Terrorism Act of 2001, H. R. 3162, Public Law 107-56 (commonly known as the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and Executive Order Number 13224 on Terrorism Financing, effective September 24, 2001 and regulations promulgated pursuant thereto (collectively,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including, without limitation, persons and entities named on the Office of Foreign Assets Control Specially Designated Nationals and Blocked Persons List (collectively, “</w:t>
      </w:r>
      <w:r>
        <w:rPr>
          <w:rFonts w:ascii="Times New Roman" w:cs="Times New Roman" w:eastAsia="Times New Roman" w:hAnsi="Times New Roman"/>
          <w:sz w:val="20"/>
          <w:szCs w:val="20"/>
          <w:u w:val="single" w:color="auto"/>
          <w:color w:val="auto"/>
        </w:rPr>
        <w:t>Prohibited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Persons</w:t>
      </w:r>
      <w:r>
        <w:rPr>
          <w:rFonts w:ascii="Times New Roman" w:cs="Times New Roman" w:eastAsia="Times New Roman" w:hAnsi="Times New Roman"/>
          <w:sz w:val="20"/>
          <w:szCs w:val="20"/>
          <w:color w:val="auto"/>
        </w:rPr>
        <w:t>”); (ii) to the best of its knowledge, it is not currently engaged in any transactions, provision of services to, or dealings with, or otherwise associated with, any Prohibited Persons, nor otherwise engaged in any activity that would violate Anti-Terrorism Laws in connection with the use or occupancy of the Premises or the Building; and (iii) it will not, during the Lease Term, engage in any transactions, provide services to, deal with, or be otherwise associated with, any Prohibited Persons, nor will it engage in any other activity that would violate Anti-Terrorism Laws in connection with the use or occupancy of the Premises or the Building.</w:t>
      </w:r>
    </w:p>
    <w:p>
      <w:pPr>
        <w:spacing w:after="0" w:line="201" w:lineRule="exact"/>
        <w:rPr>
          <w:rFonts w:ascii="Times New Roman" w:cs="Times New Roman" w:eastAsia="Times New Roman" w:hAnsi="Times New Roman"/>
          <w:sz w:val="20"/>
          <w:szCs w:val="20"/>
          <w:color w:val="auto"/>
        </w:rPr>
      </w:pPr>
    </w:p>
    <w:p>
      <w:pPr>
        <w:jc w:val="both"/>
        <w:ind w:left="1500" w:right="219" w:hanging="643"/>
        <w:spacing w:after="0" w:line="243" w:lineRule="auto"/>
        <w:tabs>
          <w:tab w:leader="none" w:pos="15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Compliance</w:t>
      </w:r>
      <w:r>
        <w:rPr>
          <w:rFonts w:ascii="Times New Roman" w:cs="Times New Roman" w:eastAsia="Times New Roman" w:hAnsi="Times New Roman"/>
          <w:sz w:val="20"/>
          <w:szCs w:val="20"/>
          <w:color w:val="auto"/>
        </w:rPr>
        <w:t>. Tenant certifies, represents, warrants and covenants to Landlord that it shall not during the Lease Term engage in activities that would violate the provisions of the U.S. Foreign Corrupt Practices Act and the anti-bribery laws of other nations generally. Accordingly, (i) Tenant has not, and shall not, in connection with its performance under the Lease, or in connection with any other business transactions involving Landlord or the Premises, made, promised, or offered to make any payment or transfer of anything of value, directly or indirectly to any US or non-US government official or to an intermediary for payment to any such government official; and, (ii) Tenant has not, and shall not, in connection with its performance under the Lease, or in connection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5" w:name="page46"/>
    <w:bookmarkEnd w:id="45"/>
    <w:p>
      <w:pPr>
        <w:jc w:val="both"/>
        <w:ind w:left="1500" w:right="219"/>
        <w:spacing w:after="0" w:line="249" w:lineRule="auto"/>
        <w:rPr>
          <w:sz w:val="20"/>
          <w:szCs w:val="20"/>
          <w:color w:val="auto"/>
        </w:rPr>
      </w:pPr>
      <w:r>
        <w:rPr>
          <w:rFonts w:ascii="Times New Roman" w:cs="Times New Roman" w:eastAsia="Times New Roman" w:hAnsi="Times New Roman"/>
          <w:sz w:val="20"/>
          <w:szCs w:val="20"/>
          <w:color w:val="auto"/>
        </w:rPr>
        <w:t>with any other business transactions involving Landlord or the Premises, made, promised, or offered to make any payments or transfers of value that have the purpose or effect of public or commercial bribery, or acceptance of or acquiescence in extortion, kickbacks, or other unlawful or improper means of obtaining business.</w:t>
      </w:r>
    </w:p>
    <w:p>
      <w:pPr>
        <w:spacing w:after="0" w:line="180" w:lineRule="exact"/>
        <w:rPr>
          <w:sz w:val="20"/>
          <w:szCs w:val="20"/>
          <w:color w:val="auto"/>
        </w:rPr>
      </w:pPr>
    </w:p>
    <w:p>
      <w:pPr>
        <w:jc w:val="both"/>
        <w:ind w:left="1500" w:right="219" w:hanging="643"/>
        <w:spacing w:after="0" w:line="244" w:lineRule="auto"/>
        <w:tabs>
          <w:tab w:leader="none" w:pos="15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 Laundering Compliance</w:t>
      </w:r>
      <w:r>
        <w:rPr>
          <w:rFonts w:ascii="Times New Roman" w:cs="Times New Roman" w:eastAsia="Times New Roman" w:hAnsi="Times New Roman"/>
          <w:sz w:val="20"/>
          <w:szCs w:val="20"/>
          <w:color w:val="auto"/>
        </w:rPr>
        <w:t>. Tenant certifies, represents, warrants and covenants to Landlord that it shall not during the Lease Term engage in activities that would violate the provisions of the US Bank Secrecy Act as amended by the USA Patriot Act (“</w:t>
      </w:r>
      <w:r>
        <w:rPr>
          <w:rFonts w:ascii="Times New Roman" w:cs="Times New Roman" w:eastAsia="Times New Roman" w:hAnsi="Times New Roman"/>
          <w:sz w:val="20"/>
          <w:szCs w:val="20"/>
          <w:u w:val="single" w:color="auto"/>
          <w:color w:val="auto"/>
        </w:rPr>
        <w:t>AML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In this regard Tenant will not engage in, facilitate or permit the Premises or the Building to be used in connection with transactions that in any way involve the proceeds of crime under US law or are related to the financing of terrorist activities. Further, Tenant will not use proceeds of crime to pay its obligations under the Lease.</w:t>
      </w:r>
    </w:p>
    <w:p>
      <w:pPr>
        <w:spacing w:after="0" w:line="185" w:lineRule="exact"/>
        <w:rPr>
          <w:rFonts w:ascii="Times New Roman" w:cs="Times New Roman" w:eastAsia="Times New Roman" w:hAnsi="Times New Roman"/>
          <w:sz w:val="20"/>
          <w:szCs w:val="20"/>
          <w:color w:val="auto"/>
        </w:rPr>
      </w:pPr>
    </w:p>
    <w:p>
      <w:pPr>
        <w:jc w:val="both"/>
        <w:ind w:left="1500" w:right="219" w:hanging="643"/>
        <w:spacing w:after="0" w:line="241" w:lineRule="auto"/>
        <w:tabs>
          <w:tab w:leader="none" w:pos="15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xml:space="preserve">. If at any time after the date hereof Tenant becomes a Prohibited Person or is accused by The Office of Foreign Assets Control or other Federal Authorities of being associated with a person designated as a Prohibited Person, then it shall notify Landlord within five (5) business days after becoming aware of such designation. If at any time after the date hereof Tenant becomes a Prohibited Person or Tenant otherwise breaches any certification, representation, warranty or covenant set forth in this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then such event shall constitute an event of default hereunder, entitling Landlord to any and all remedies under the Lease or at law or in equity (including the right to terminate the Lease), without affording Tenant any notice or cure period. Tenant hereby agrees to defend (with counsel reasonably acceptable to Landlord), indemnify, and hold harmless Landlord from and against any and all claims arising from or related to any such breach of the foregoing certifications, representations, warranties and covenants. Tenant’s indemnification obligations in this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shall survive the expiration or earlier termination of the Lease.</w:t>
      </w:r>
    </w:p>
    <w:p>
      <w:pPr>
        <w:spacing w:after="0" w:line="195" w:lineRule="exact"/>
        <w:rPr>
          <w:rFonts w:ascii="Times New Roman" w:cs="Times New Roman" w:eastAsia="Times New Roman" w:hAnsi="Times New Roman"/>
          <w:sz w:val="20"/>
          <w:szCs w:val="20"/>
          <w:color w:val="auto"/>
        </w:rPr>
      </w:pPr>
    </w:p>
    <w:p>
      <w:pPr>
        <w:jc w:val="both"/>
        <w:ind w:left="860" w:right="219" w:hanging="651"/>
        <w:spacing w:after="0" w:line="241" w:lineRule="auto"/>
        <w:tabs>
          <w:tab w:leader="none" w:pos="8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Agreement/Conflict</w:t>
      </w:r>
      <w:r>
        <w:rPr>
          <w:rFonts w:ascii="Times New Roman" w:cs="Times New Roman" w:eastAsia="Times New Roman" w:hAnsi="Times New Roman"/>
          <w:sz w:val="20"/>
          <w:szCs w:val="20"/>
          <w:color w:val="auto"/>
        </w:rPr>
        <w:t>. The transmission of this document by Landlord does not constitute an offer by Landlord and shall not be binding on Landlord until its execution by Landlord. The Lease, as amended by this First Amendment, sets forth the entire agreement between the parties with respect to the matters set forth herein and any exhibits, schedules and appendixes attached to this First Amendment are incorporated herein as if fully set forth in this First Amendment and shall be deemed to be a part of this First Amendment. There have been no additional oral or written representations or agreements. With the exception of those terms and conditions specifically modified and amended herein, the herein referenced Lease shall remain in full force and effect in accordance with all its terms and conditions; however, Tenant shall not be entitled, in connection with entering into this First Amendment, to any free rent, allowance, alteration, improvement or similar economic incentive to which Tenant may have been entitled in connection with entering into the Lease, unless otherwise expressly provided in this First Amendment. In the event of any conflict between the terms and provisions of this First Amendment and the terms and provisions of the Lease, the terms and provisions of this First Amendment shall supersede and control.</w:t>
      </w:r>
    </w:p>
    <w:p>
      <w:pPr>
        <w:spacing w:after="0" w:line="195" w:lineRule="exact"/>
        <w:rPr>
          <w:rFonts w:ascii="Times New Roman" w:cs="Times New Roman" w:eastAsia="Times New Roman" w:hAnsi="Times New Roman"/>
          <w:sz w:val="20"/>
          <w:szCs w:val="20"/>
          <w:color w:val="auto"/>
        </w:rPr>
      </w:pPr>
    </w:p>
    <w:p>
      <w:pPr>
        <w:jc w:val="both"/>
        <w:ind w:left="860" w:right="219" w:hanging="651"/>
        <w:spacing w:after="0" w:line="259" w:lineRule="auto"/>
        <w:tabs>
          <w:tab w:leader="none" w:pos="8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This First Amendment shall be construed and enforced in accordance with the laws of the state in which the Premises are located. Time is of the essence with respect to all of Tenant’s obligations and deadlines set forth in this First Amendment. No provision of this First Amendment may be amended or added to except by an agreement in writing signed by the parties hereto or their respective successors in interest. The illegality, invalidity or unenforceability of any provision of this First Amendment shall in no way impair or invalidate any other provision of this First Amendment, and such remaining provisions shall remain in full force and effect. Notwithstanding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6" w:name="page47"/>
    <w:bookmarkEnd w:id="46"/>
    <w:p>
      <w:pPr>
        <w:ind w:left="860" w:right="239"/>
        <w:spacing w:after="0" w:line="269" w:lineRule="auto"/>
        <w:rPr>
          <w:sz w:val="20"/>
          <w:szCs w:val="20"/>
          <w:color w:val="auto"/>
        </w:rPr>
      </w:pPr>
      <w:r>
        <w:rPr>
          <w:rFonts w:ascii="Times New Roman" w:cs="Times New Roman" w:eastAsia="Times New Roman" w:hAnsi="Times New Roman"/>
          <w:sz w:val="20"/>
          <w:szCs w:val="20"/>
          <w:color w:val="auto"/>
        </w:rPr>
        <w:t>anything to the contrary in the Lease or herein, Landlord shall never be liable for consequential, special, or indirect damages under the Lease.</w:t>
      </w:r>
    </w:p>
    <w:p>
      <w:pPr>
        <w:spacing w:after="0" w:line="159" w:lineRule="exact"/>
        <w:rPr>
          <w:sz w:val="20"/>
          <w:szCs w:val="20"/>
          <w:color w:val="auto"/>
        </w:rPr>
      </w:pPr>
    </w:p>
    <w:p>
      <w:pPr>
        <w:jc w:val="both"/>
        <w:ind w:left="860" w:right="239" w:hanging="651"/>
        <w:spacing w:after="0" w:line="245" w:lineRule="auto"/>
        <w:tabs>
          <w:tab w:leader="none" w:pos="8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Joint Product/Headings</w:t>
      </w:r>
      <w:r>
        <w:rPr>
          <w:rFonts w:ascii="Times New Roman" w:cs="Times New Roman" w:eastAsia="Times New Roman" w:hAnsi="Times New Roman"/>
          <w:sz w:val="20"/>
          <w:szCs w:val="20"/>
          <w:color w:val="auto"/>
        </w:rPr>
        <w:t>. This First Amendment is the result of arms-length negotiations between Landlord and Tenant, both of whom were represented by their respective attorneys. Accordingly, neither party shall be deemed to be the author of this First Amendment and this First Amendment shall not be construed against either party. The section and paragraph headings of this First Amendment are for convenience only and in no way limit or enlarge the scope or meaning of the language hereof.</w:t>
      </w:r>
    </w:p>
    <w:p>
      <w:pPr>
        <w:spacing w:after="0" w:line="184" w:lineRule="exact"/>
        <w:rPr>
          <w:rFonts w:ascii="Times New Roman" w:cs="Times New Roman" w:eastAsia="Times New Roman" w:hAnsi="Times New Roman"/>
          <w:sz w:val="20"/>
          <w:szCs w:val="20"/>
          <w:color w:val="auto"/>
        </w:rPr>
      </w:pPr>
    </w:p>
    <w:p>
      <w:pPr>
        <w:jc w:val="both"/>
        <w:ind w:left="860" w:right="219" w:hanging="651"/>
        <w:spacing w:after="0" w:line="243" w:lineRule="auto"/>
        <w:tabs>
          <w:tab w:leader="none" w:pos="8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First Amendment may be executed in any number of counterparts, each of which shall be deemed an original, and all of such counterparts shall constitute one agreement. To facilitate execution of this First Amendment, the parties may execute and exchange counterparts of this First Amendment via attachment to electronic mail (*.pdf or similar file types). The parties further agree that counterparts of this First Amendment hereto may be signed electronically via Adobe Sign, DocuSign protocol or other electronic platform. All such signatures may be used in the place of original "wet ink" signatures to this First Amendment and shall have the same legal effect as the physical delivery of an original signature.</w:t>
      </w:r>
    </w:p>
    <w:p>
      <w:pPr>
        <w:spacing w:after="0" w:line="189" w:lineRule="exact"/>
        <w:rPr>
          <w:rFonts w:ascii="Times New Roman" w:cs="Times New Roman" w:eastAsia="Times New Roman" w:hAnsi="Times New Roman"/>
          <w:sz w:val="20"/>
          <w:szCs w:val="20"/>
          <w:color w:val="auto"/>
        </w:rPr>
      </w:pPr>
    </w:p>
    <w:p>
      <w:pPr>
        <w:jc w:val="both"/>
        <w:ind w:left="860" w:right="219" w:hanging="651"/>
        <w:spacing w:after="0" w:line="245" w:lineRule="auto"/>
        <w:tabs>
          <w:tab w:leader="none" w:pos="8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Tenant and each person signing this First Amendment on behalf of Tenant represents to Landlord as follows: (i) Tenant is duly organized and an existing legal entity, in good standing in the State in which the Premises are located; (ii) Tenant has and is qualified to do business in the State in which the Premises are located; (iii) Tenant has the full right and authority to enter into this First Amendment; and (iv) each person signing on behalf of Tenant was and continues to be authorized to do so.</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7" w:name="page48"/>
    <w:bookmarkEnd w:id="47"/>
    <w:p>
      <w:pPr>
        <w:spacing w:after="0" w:line="149" w:lineRule="exact"/>
        <w:rPr>
          <w:sz w:val="20"/>
          <w:szCs w:val="20"/>
          <w:color w:val="auto"/>
        </w:rPr>
      </w:pPr>
    </w:p>
    <w:p>
      <w:pPr>
        <w:jc w:val="both"/>
        <w:ind w:left="540" w:right="559" w:firstLine="648"/>
        <w:spacing w:after="0" w:line="254" w:lineRule="auto"/>
        <w:rPr>
          <w:sz w:val="20"/>
          <w:szCs w:val="20"/>
          <w:color w:val="auto"/>
        </w:rPr>
      </w:pPr>
      <w:r>
        <w:rPr>
          <w:rFonts w:ascii="Times New Roman" w:cs="Times New Roman" w:eastAsia="Times New Roman" w:hAnsi="Times New Roman"/>
          <w:sz w:val="20"/>
          <w:szCs w:val="20"/>
          <w:color w:val="auto"/>
        </w:rPr>
        <w:t>IN WITNESS WHEREOF, the parties hereto have executed this First Amendment to Office Lease Agreement as of the dates shown below, to be effective for all purposes, however, as of the Effective Date.</w:t>
      </w:r>
    </w:p>
    <w:p>
      <w:pPr>
        <w:spacing w:after="0" w:line="4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PRII HIGH BLUFFS LLC, AND</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COLLINS CORPORATE CENTER</w:t>
      </w:r>
    </w:p>
    <w:p>
      <w:pPr>
        <w:ind w:left="4420"/>
        <w:spacing w:after="0"/>
        <w:rPr>
          <w:sz w:val="20"/>
          <w:szCs w:val="20"/>
          <w:color w:val="auto"/>
        </w:rPr>
      </w:pPr>
      <w:r>
        <w:rPr>
          <w:rFonts w:ascii="Times New Roman" w:cs="Times New Roman" w:eastAsia="Times New Roman" w:hAnsi="Times New Roman"/>
          <w:sz w:val="20"/>
          <w:szCs w:val="20"/>
          <w:b w:val="1"/>
          <w:bCs w:val="1"/>
          <w:color w:val="auto"/>
        </w:rPr>
        <w:t>PARTNERS, LLC, AS TENANTS IN</w:t>
      </w:r>
    </w:p>
    <w:p>
      <w:pPr>
        <w:ind w:left="4420"/>
        <w:spacing w:after="0"/>
        <w:rPr>
          <w:sz w:val="20"/>
          <w:szCs w:val="20"/>
          <w:color w:val="auto"/>
        </w:rPr>
      </w:pPr>
      <w:r>
        <w:rPr>
          <w:rFonts w:ascii="Times New Roman" w:cs="Times New Roman" w:eastAsia="Times New Roman" w:hAnsi="Times New Roman"/>
          <w:sz w:val="20"/>
          <w:szCs w:val="20"/>
          <w:b w:val="1"/>
          <w:bCs w:val="1"/>
          <w:color w:val="auto"/>
        </w:rPr>
        <w:t>COMMON</w:t>
      </w:r>
    </w:p>
    <w:p>
      <w:pPr>
        <w:spacing w:after="0" w:line="207"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PRII BLUFFS LLC,</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ind w:left="5080"/>
        <w:spacing w:after="0"/>
        <w:rPr>
          <w:sz w:val="20"/>
          <w:szCs w:val="20"/>
          <w:color w:val="auto"/>
        </w:rPr>
      </w:pPr>
      <w:r>
        <w:rPr>
          <w:rFonts w:ascii="Times New Roman" w:cs="Times New Roman" w:eastAsia="Times New Roman" w:hAnsi="Times New Roman"/>
          <w:sz w:val="20"/>
          <w:szCs w:val="20"/>
          <w:color w:val="auto"/>
        </w:rPr>
        <w:t>as Owner Agent</w:t>
      </w:r>
    </w:p>
    <w:p>
      <w:pPr>
        <w:spacing w:after="0" w:line="207"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Cognac High Bluffs LLC,</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ind w:left="508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PRISA II LHC, LLC,</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ind w:left="508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Nicole Diggs</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-24765</wp:posOffset>
            </wp:positionV>
            <wp:extent cx="1728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72847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Name:  Nicole Diggs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-24765</wp:posOffset>
            </wp:positionV>
            <wp:extent cx="760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-25400</wp:posOffset>
            </wp:positionV>
            <wp:extent cx="1694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694180"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Vice President</w:t>
      </w:r>
    </w:p>
    <w:p>
      <w:pPr>
        <w:ind w:left="44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-25400</wp:posOffset>
            </wp:positionV>
            <wp:extent cx="17202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720215" cy="8890"/>
                    </a:xfrm>
                    <a:prstGeom prst="rect">
                      <a:avLst/>
                    </a:prstGeom>
                    <a:noFill/>
                  </pic:spPr>
                </pic:pic>
              </a:graphicData>
            </a:graphic>
          </wp:anchor>
        </w:drawing>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Date: May 19, 2022</w:t>
      </w: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XENCOR,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20"/>
        <w:spacing w:after="0"/>
        <w:tabs>
          <w:tab w:leader="none" w:pos="49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John Kuch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816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-24765</wp:posOffset>
            </wp:positionV>
            <wp:extent cx="17970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Name:  John Kuch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-24765</wp:posOffset>
            </wp:positionV>
            <wp:extent cx="635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-25400</wp:posOffset>
            </wp:positionV>
            <wp:extent cx="18230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-24765</wp:posOffset>
            </wp:positionV>
            <wp:extent cx="3384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38455"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-25400</wp:posOffset>
            </wp:positionV>
            <wp:extent cx="21824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Date: May 17, 2022</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1440" w:right="1440" w:bottom="1440" w:gutter="0" w:footer="0" w:header="0"/>
        </w:sectPr>
      </w:pP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747374167.2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8" w:name="page49"/>
    <w:bookmarkEnd w:id="48"/>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1500" w:right="2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SECTION 302 OF THE SARBANES-OXLEY ACT OF 2002</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Bassil I. Dahiyat, Ph.D., certify that:</w:t>
      </w:r>
    </w:p>
    <w:p>
      <w:pPr>
        <w:spacing w:after="0" w:line="225"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Xencor, Inc., (the “Company”);</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58"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380" w:right="319" w:hanging="330"/>
        <w:spacing w:after="0" w:line="258"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2" w:lineRule="exact"/>
        <w:rPr>
          <w:rFonts w:ascii="Times New Roman" w:cs="Times New Roman" w:eastAsia="Times New Roman" w:hAnsi="Times New Roman"/>
          <w:sz w:val="18"/>
          <w:szCs w:val="18"/>
          <w:color w:val="auto"/>
        </w:rPr>
      </w:pPr>
    </w:p>
    <w:p>
      <w:pPr>
        <w:ind w:left="700" w:right="399" w:hanging="326"/>
        <w:spacing w:after="0" w:line="261"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79" w:hanging="326"/>
        <w:spacing w:after="0" w:line="261"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66" w:lineRule="exact"/>
        <w:rPr>
          <w:rFonts w:ascii="Times New Roman" w:cs="Times New Roman" w:eastAsia="Times New Roman" w:hAnsi="Times New Roman"/>
          <w:sz w:val="18"/>
          <w:szCs w:val="18"/>
          <w:color w:val="auto"/>
        </w:rPr>
      </w:pPr>
    </w:p>
    <w:p>
      <w:pPr>
        <w:ind w:left="380" w:right="9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19" w:hanging="326"/>
        <w:spacing w:after="0" w:line="266"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BASSIL I.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17145</wp:posOffset>
            </wp:positionV>
            <wp:extent cx="2803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Bassil I. Dahiyat, Ph.D.</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SECTION 302 OF THE</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John J. Kuch, certify that:</w:t>
      </w:r>
    </w:p>
    <w:p>
      <w:pPr>
        <w:spacing w:after="0" w:line="225" w:lineRule="exact"/>
        <w:rPr>
          <w:sz w:val="20"/>
          <w:szCs w:val="20"/>
          <w:color w:val="auto"/>
        </w:rPr>
      </w:pPr>
    </w:p>
    <w:p>
      <w:pPr>
        <w:ind w:left="360" w:hanging="316"/>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Xencor, Inc., (the “Company”);</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58"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360" w:right="79" w:hanging="316"/>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60" w:right="339" w:hanging="316"/>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79" w:hanging="332"/>
        <w:spacing w:after="0" w:line="255" w:lineRule="auto"/>
        <w:tabs>
          <w:tab w:leader="none" w:pos="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86" w:lineRule="exact"/>
        <w:rPr>
          <w:rFonts w:ascii="Times New Roman" w:cs="Times New Roman" w:eastAsia="Times New Roman" w:hAnsi="Times New Roman"/>
          <w:sz w:val="18"/>
          <w:szCs w:val="18"/>
          <w:color w:val="auto"/>
        </w:rPr>
      </w:pPr>
    </w:p>
    <w:p>
      <w:pPr>
        <w:ind w:left="360" w:right="99" w:hanging="316"/>
        <w:spacing w:after="0" w:line="258"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96" w:lineRule="exact"/>
        <w:rPr>
          <w:rFonts w:ascii="Times New Roman" w:cs="Times New Roman" w:eastAsia="Times New Roman" w:hAnsi="Times New Roman"/>
          <w:sz w:val="18"/>
          <w:szCs w:val="18"/>
          <w:color w:val="auto"/>
        </w:rPr>
      </w:pPr>
    </w:p>
    <w:p>
      <w:pPr>
        <w:ind w:left="700" w:right="139" w:hanging="332"/>
        <w:spacing w:after="0" w:line="258" w:lineRule="auto"/>
        <w:tabs>
          <w:tab w:leader="none" w:pos="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700" w:right="239" w:hanging="332"/>
        <w:spacing w:after="0" w:line="282" w:lineRule="auto"/>
        <w:tabs>
          <w:tab w:leader="none" w:pos="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JOHN J. KUCH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17145</wp:posOffset>
            </wp:positionV>
            <wp:extent cx="28117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John J. Kuch</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200" w:right="45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Bassil I. Dahiyat, President &amp; Chief Executive Officer of Xencor, Inc. (the “Company”), and John J. Kuch, Chief Financial Officer of the Company, each hereby certifies that, to the best of their knowledge:</w:t>
      </w:r>
    </w:p>
    <w:p>
      <w:pPr>
        <w:spacing w:after="0" w:line="180" w:lineRule="exact"/>
        <w:rPr>
          <w:sz w:val="20"/>
          <w:szCs w:val="20"/>
          <w:color w:val="auto"/>
        </w:rPr>
      </w:pPr>
    </w:p>
    <w:p>
      <w:pPr>
        <w:ind w:left="860" w:right="659" w:hanging="651"/>
        <w:spacing w:after="0" w:line="258" w:lineRule="auto"/>
        <w:tabs>
          <w:tab w:leader="none" w:pos="8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96" w:lineRule="exact"/>
        <w:rPr>
          <w:rFonts w:ascii="Times New Roman" w:cs="Times New Roman" w:eastAsia="Times New Roman" w:hAnsi="Times New Roman"/>
          <w:sz w:val="18"/>
          <w:szCs w:val="18"/>
          <w:b w:val="1"/>
          <w:bCs w:val="1"/>
          <w:color w:val="auto"/>
        </w:rPr>
      </w:pPr>
    </w:p>
    <w:p>
      <w:pPr>
        <w:ind w:left="860" w:right="839" w:hanging="651"/>
        <w:spacing w:after="0" w:line="266" w:lineRule="auto"/>
        <w:tabs>
          <w:tab w:leader="none" w:pos="8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Dated: August 3, 2022</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3rd day of August 2022.</w:t>
      </w:r>
    </w:p>
    <w:p>
      <w:pPr>
        <w:spacing w:after="0" w:line="200" w:lineRule="exact"/>
        <w:rPr>
          <w:sz w:val="20"/>
          <w:szCs w:val="20"/>
          <w:color w:val="auto"/>
        </w:rPr>
      </w:pP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BASSIL I. DAHIYAT</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 JOHN J. KUCH</w:t>
            </w:r>
          </w:p>
        </w:tc>
      </w:tr>
      <w:tr>
        <w:trPr>
          <w:trHeight w:val="191"/>
        </w:trPr>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Bassil I. Dahiyat</w:t>
            </w:r>
          </w:p>
        </w:tc>
        <w:tc>
          <w:tcPr>
            <w:tcW w:w="18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J. Kuch</w:t>
            </w:r>
          </w:p>
        </w:tc>
      </w:tr>
      <w:tr>
        <w:trPr>
          <w:trHeight w:val="21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98" w:lineRule="exact"/>
        <w:rPr>
          <w:sz w:val="20"/>
          <w:szCs w:val="20"/>
          <w:color w:val="auto"/>
        </w:rPr>
      </w:pPr>
    </w:p>
    <w:p>
      <w:pPr>
        <w:ind w:left="200" w:right="35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Periodic Report to which it relates, is not deemed filed with the Securities and Exchange Commission and is not to be incorporated by reference into any filing of Xencor,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04"/>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5"/>
    </w:lvl>
  </w:abstractNum>
  <w:abstractNum w:abstractNumId="12">
    <w:nsid w:val="25E45D32"/>
    <w:multiLevelType w:val="hybridMultilevel"/>
    <w:lvl w:ilvl="0">
      <w:lvlJc w:val="left"/>
      <w:lvlText w:val="%1."/>
      <w:numFmt w:val="decimal"/>
      <w:start w:val="8"/>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15">
    <w:nsid w:val="3F2DBA31"/>
    <w:multiLevelType w:val="hybridMultilevel"/>
    <w:lvl w:ilvl="0">
      <w:lvlJc w:val="left"/>
      <w:lvlText w:val="%1"/>
      <w:numFmt w:val="decimal"/>
      <w:start w:val="1"/>
    </w:lvl>
    <w:lvl w:ilvl="1">
      <w:lvlJc w:val="left"/>
      <w:lvlText w:val="(%2)"/>
      <w:numFmt w:val="lowerLetter"/>
      <w:start w:val="3"/>
    </w:lvl>
  </w:abstractNum>
  <w:abstractNum w:abstractNumId="16">
    <w:nsid w:val="7C83E458"/>
    <w:multiLevelType w:val="hybridMultilevel"/>
    <w:lvl w:ilvl="0">
      <w:lvlJc w:val="left"/>
      <w:lvlText w:val="%1."/>
      <w:numFmt w:val="decimal"/>
      <w:start w:val="15"/>
    </w:lvl>
    <w:lvl w:ilvl="1">
      <w:lvlJc w:val="left"/>
      <w:lvlText w:val="%2"/>
      <w:numFmt w:val="lowerLetter"/>
      <w:start w:val="1"/>
    </w:lvl>
  </w:abstractNum>
  <w:abstractNum w:abstractNumId="17">
    <w:nsid w:val="257130A3"/>
    <w:multiLevelType w:val="hybridMultilevel"/>
    <w:lvl w:ilvl="0">
      <w:lvlJc w:val="left"/>
      <w:lvlText w:val="%1."/>
      <w:numFmt w:val="decimal"/>
      <w:start w:val="17"/>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58" Type="http://schemas.openxmlformats.org/officeDocument/2006/relationships/hyperlink" Target="http://www.sec.gov/Archives/edgar/data/1326732/000110465913089659/a13-26060_1ex3d1.htm" TargetMode="External"/><Relationship Id="rId59" Type="http://schemas.openxmlformats.org/officeDocument/2006/relationships/hyperlink" Target="http://www.sec.gov/Archives/edgar/data/1326732/000110465913089659/a13-26060_1ex3d2.htm" TargetMode="External"/><Relationship Id="rId60" Type="http://schemas.openxmlformats.org/officeDocument/2006/relationships/hyperlink" Target="http://www.sec.gov/Archives/edgar/data/1326732/000104746913009956/a2217011zex-4_1.htm" TargetMode="External"/><Relationship Id="rId61" Type="http://schemas.openxmlformats.org/officeDocument/2006/relationships/hyperlink" Target="http://www.sec.gov/Archives/edgar/data/1326732/000104746913009603/a2216934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2022-08-03T16:25:40Z</dcterms:created>
  <dcterms:modified xsi:type="dcterms:W3CDTF">2022-08-03T16:25:40Z</dcterms:modified>
</cp:coreProperties>
</file>