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551318.xml.htm"/>
      <w:bookmarkStart w:id="1" w:name="kswkform4_17835513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Feigal Ellen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XENCOR,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 N HALSTEAD STREET,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PASADENA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91107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Xencor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XNCR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2"/>
        <w:gridCol w:w="901"/>
        <w:gridCol w:w="771"/>
        <w:gridCol w:w="599"/>
        <w:gridCol w:w="350"/>
        <w:gridCol w:w="976"/>
        <w:gridCol w:w="459"/>
        <w:gridCol w:w="621"/>
        <w:gridCol w:w="1170"/>
        <w:gridCol w:w="1003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2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10,302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22,642</w:t>
            </w:r>
          </w:p>
        </w:tc>
        <w:tc>
          <w:tcPr>
            <w:tcW w:w="10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12.2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06/16/2026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06/15/2036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20,604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20,604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that shall fully vest on the first anniversary of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shares subject to the option will vest in equal monthly installments over one year beginning on the one-month anniversary of June 16, 2026, such that the total number of shares will be fully vested on June 16,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Celia E. Eckert,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58108" TargetMode="External"/><Relationship Id="rId5" Type="http://schemas.openxmlformats.org/officeDocument/2006/relationships/hyperlink" Target="http://www.sec.gov/cgi-bin/browse-edgar?action=getcompany&amp;CIK=000132673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3404</Characters>
  <CharactersWithSpaces>3971</CharactersWithSpaces>
  <Paragraphs>109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