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609bb953f26a4cd58095f8c6d091a7e3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w:t>
      </w:r>
    </w:p>
    <w:p>
      <w:pPr>
        <w:pStyle w:val="TextBody"/>
        <w:bidi w:val="0"/>
        <w:spacing w:lineRule="auto" w:line="288" w:before="200" w:after="283"/>
        <w:jc w:val="center"/>
        <w:rPr>
          <w:rFonts w:ascii="Times New Roman;serif" w:hAnsi="Times New Roman;serif"/>
          <w:b/>
          <w:color w:val="000000"/>
          <w:sz w:val="32"/>
        </w:rPr>
      </w:pPr>
      <w:r>
        <w:rPr>
          <w:rFonts w:ascii="Times New Roman;serif" w:hAnsi="Times New Roman;serif"/>
          <w:b/>
          <w:color w:val="000000"/>
          <w:sz w:val="32"/>
        </w:rPr>
        <w:t>FORM 10-Q</w:t>
      </w:r>
    </w:p>
    <w:p>
      <w:pPr>
        <w:pStyle w:val="TextBody"/>
        <w:bidi w:val="0"/>
        <w:spacing w:before="20" w:after="283"/>
        <w:jc w:val="center"/>
        <w:rPr/>
      </w:pPr>
      <w:r>
        <w:rPr/>
      </w:r>
    </w:p>
    <w:p>
      <w:pPr>
        <w:pStyle w:val="TextBody"/>
        <w:bidi w:val="0"/>
        <w:spacing w:lineRule="auto" w:line="288" w:before="120" w:after="283"/>
        <w:jc w:val="left"/>
        <w:rPr>
          <w:rFonts w:ascii="Times New Roman;serif" w:hAnsi="Times New Roman;serif"/>
          <w:b/>
          <w:color w:val="000000"/>
          <w:sz w:val="16"/>
        </w:rPr>
      </w:pPr>
      <w:r>
        <w:rPr>
          <w:rFonts w:ascii="Times New Roman;serif" w:hAnsi="Times New Roman;serif"/>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color w:val="000000"/>
                <w:sz w:val="20"/>
              </w:rPr>
            </w:pPr>
            <w:r>
              <w:rPr>
                <w:rFonts w:ascii="Wingdings;sans-serif" w:hAnsi="Wingdings;sans-serif"/>
                <w:b/>
                <w:color w:val="000000"/>
                <w:sz w:val="20"/>
              </w:rPr>
              <w:t>x</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For the quarterly period ended June 30, 2026</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color w:val="000000"/>
                <w:sz w:val="20"/>
              </w:rPr>
            </w:pPr>
            <w:r>
              <w:rPr>
                <w:rFonts w:ascii="Wingdings;sans-serif" w:hAnsi="Wingdings;sans-serif"/>
                <w:b/>
                <w:color w:val="000000"/>
                <w:sz w:val="20"/>
              </w:rPr>
              <w:t>o</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For the transition period from ________ to ________</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Commission file number: 001-36182</w:t>
      </w:r>
    </w:p>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Xencor, Inc.</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bl>
      <w:tblPr>
        <w:tblW w:w="6959" w:type="dxa"/>
        <w:jc w:val="left"/>
        <w:tblInd w:w="0" w:type="dxa"/>
        <w:tblLayout w:type="fixed"/>
        <w:tblCellMar>
          <w:top w:w="28" w:type="dxa"/>
          <w:left w:w="28" w:type="dxa"/>
          <w:bottom w:w="28" w:type="dxa"/>
          <w:right w:w="28" w:type="dxa"/>
        </w:tblCellMar>
      </w:tblPr>
      <w:tblGrid>
        <w:gridCol w:w="1553"/>
        <w:gridCol w:w="1364"/>
        <w:gridCol w:w="1372"/>
        <w:gridCol w:w="778"/>
        <w:gridCol w:w="778"/>
        <w:gridCol w:w="1114"/>
      </w:tblGrid>
      <w:tr>
        <w:trPr/>
        <w:tc>
          <w:tcPr>
            <w:tcW w:w="1553"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20-1622502</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465 North Halstead Street, Suite 200, Pasadena, CA</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91107</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(626) 305-5900</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lineRule="auto" w:line="288" w:before="200" w:after="283"/>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7642" w:type="dxa"/>
        <w:jc w:val="left"/>
        <w:tblInd w:w="0" w:type="dxa"/>
        <w:tblLayout w:type="fixed"/>
        <w:tblCellMar>
          <w:top w:w="28" w:type="dxa"/>
          <w:left w:w="28" w:type="dxa"/>
          <w:bottom w:w="28" w:type="dxa"/>
          <w:right w:w="28" w:type="dxa"/>
        </w:tblCellMar>
      </w:tblPr>
      <w:tblGrid>
        <w:gridCol w:w="1105"/>
        <w:gridCol w:w="973"/>
        <w:gridCol w:w="981"/>
        <w:gridCol w:w="109"/>
        <w:gridCol w:w="109"/>
        <w:gridCol w:w="109"/>
        <w:gridCol w:w="409"/>
        <w:gridCol w:w="409"/>
        <w:gridCol w:w="411"/>
        <w:gridCol w:w="109"/>
        <w:gridCol w:w="109"/>
        <w:gridCol w:w="109"/>
        <w:gridCol w:w="791"/>
        <w:gridCol w:w="791"/>
        <w:gridCol w:w="1118"/>
      </w:tblGrid>
      <w:tr>
        <w:trPr/>
        <w:tc>
          <w:tcPr>
            <w:tcW w:w="1105"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Name of each exchange on which registered</w:t>
            </w:r>
          </w:p>
        </w:tc>
      </w:tr>
      <w:tr>
        <w:trPr/>
        <w:tc>
          <w:tcPr>
            <w:tcW w:w="30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XNCR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Global Market</w:t>
            </w:r>
          </w:p>
        </w:tc>
      </w:tr>
    </w:tbl>
    <w:p>
      <w:pPr>
        <w:pStyle w:val="TextBody"/>
        <w:bidi w:val="0"/>
        <w:spacing w:lineRule="auto" w:line="288" w:before="120" w:after="283"/>
        <w:ind w:left="0" w:right="0" w:firstLine="720"/>
        <w:jc w:val="left"/>
        <w:rPr/>
      </w:pPr>
      <w:r>
        <w:rPr>
          <w:rFonts w:ascii="Times New Roman;serif" w:hAnsi="Times New Roman;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120" w:after="283"/>
        <w:ind w:left="0" w:right="0" w:firstLine="720"/>
        <w:jc w:val="left"/>
        <w:rPr/>
      </w:pPr>
      <w:r>
        <w:rPr>
          <w:rFonts w:ascii="Times New Roman;serif" w:hAnsi="Times New Roman;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120" w:after="283"/>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120" w:after="283"/>
        <w:ind w:left="0" w:right="0" w:firstLine="720"/>
        <w:jc w:val="left"/>
        <w:rPr/>
      </w:pPr>
      <w:r>
        <w:rPr>
          <w:rFonts w:ascii="Times New Roman;serif" w:hAnsi="Times New Roman;serif"/>
          <w:b w:val="false"/>
          <w:color w:val="000000"/>
          <w:sz w:val="16"/>
        </w:rPr>
        <w:t xml:space="preserve">Large accelerated filer </w:t>
      </w: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 xml:space="preserve">Accelerated filer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Non-accelerated filer </w:t>
      </w: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 xml:space="preserve">Smaller reporting company </w:t>
      </w: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 xml:space="preserve">Emerging growth company </w:t>
      </w:r>
      <w:r>
        <w:rPr>
          <w:rFonts w:ascii="Wingdings;sans-serif" w:hAnsi="Wingdings;sans-serif"/>
          <w:b w:val="false"/>
          <w:color w:val="000000"/>
          <w:sz w:val="16"/>
        </w:rPr>
        <w:t>o</w:t>
      </w:r>
    </w:p>
    <w:p>
      <w:pPr>
        <w:pStyle w:val="TextBody"/>
        <w:bidi w:val="0"/>
        <w:spacing w:lineRule="auto" w:line="288" w:before="120" w:after="283"/>
        <w:ind w:left="0" w:right="0" w:firstLine="720"/>
        <w:jc w:val="left"/>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120" w:after="283"/>
        <w:ind w:left="0" w:right="0" w:firstLine="720"/>
        <w:jc w:val="left"/>
        <w:rPr/>
      </w:pPr>
      <w:r>
        <w:rPr>
          <w:rFonts w:ascii="Times New Roman;serif" w:hAnsi="Times New Roman;serif"/>
          <w:b w:val="false"/>
          <w:color w:val="000000"/>
          <w:sz w:val="16"/>
        </w:rPr>
        <w:t xml:space="preserve">Indicate by check mark whether the registrant is a shell company (as defined in Rule 12b-2 of the Exchange Act). Yes </w:t>
      </w: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120" w:after="283"/>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Indicate the number of shares outstanding of each of the issuer’s classes of common stock, as of the latest practicable date:</w:t>
      </w:r>
    </w:p>
    <w:tbl>
      <w:tblPr>
        <w:tblW w:w="5247" w:type="dxa"/>
        <w:jc w:val="left"/>
        <w:tblInd w:w="0" w:type="dxa"/>
        <w:tblLayout w:type="fixed"/>
        <w:tblCellMar>
          <w:top w:w="28" w:type="dxa"/>
          <w:left w:w="28" w:type="dxa"/>
          <w:bottom w:w="28" w:type="dxa"/>
          <w:right w:w="28" w:type="dxa"/>
        </w:tblCellMar>
      </w:tblPr>
      <w:tblGrid>
        <w:gridCol w:w="1092"/>
        <w:gridCol w:w="957"/>
        <w:gridCol w:w="981"/>
        <w:gridCol w:w="109"/>
        <w:gridCol w:w="109"/>
        <w:gridCol w:w="109"/>
        <w:gridCol w:w="554"/>
        <w:gridCol w:w="554"/>
        <w:gridCol w:w="782"/>
      </w:tblGrid>
      <w:tr>
        <w:trPr/>
        <w:tc>
          <w:tcPr>
            <w:tcW w:w="1092"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Outstanding at July 31, 2026</w:t>
            </w:r>
          </w:p>
        </w:tc>
      </w:tr>
      <w:tr>
        <w:trPr/>
        <w:tc>
          <w:tcPr>
            <w:tcW w:w="30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74,353,397</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609bb953f26a4cd58095f8c6d091a7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1040"/>
        <w:gridCol w:w="897"/>
        <w:gridCol w:w="897"/>
        <w:gridCol w:w="2313"/>
        <w:gridCol w:w="2265"/>
        <w:gridCol w:w="2279"/>
        <w:gridCol w:w="149"/>
        <w:gridCol w:w="149"/>
        <w:gridCol w:w="216"/>
      </w:tblGrid>
      <w:tr>
        <w:trPr/>
        <w:tc>
          <w:tcPr>
            <w:tcW w:w="1040"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313" w:type="dxa"/>
            <w:tcBorders/>
            <w:vAlign w:val="center"/>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09bb953f26a4cd58095f8c6d091a7e3_10">
              <w:r>
                <w:rPr>
                  <w:rStyle w:val="InternetLink"/>
                  <w:rFonts w:ascii="Times New Roman;serif" w:hAnsi="Times New Roman;serif"/>
                  <w:b w:val="false"/>
                  <w:color w:val="0000FF"/>
                  <w:sz w:val="20"/>
                  <w:u w:val="single"/>
                </w:rPr>
                <w:t>SPECIAL NOTE REGARDING FORWARD-LOOKING STATEMENTS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09bb953f26a4cd58095f8c6d091a7e3_10">
              <w:r>
                <w:rPr>
                  <w:rStyle w:val="InternetLink"/>
                  <w:rFonts w:ascii="Times New Roman;serif" w:hAnsi="Times New Roman;serif"/>
                  <w:b w:val="false"/>
                  <w:strike w:val="false"/>
                  <w:dstrike w:val="false"/>
                  <w:color w:val="000000"/>
                  <w:sz w:val="20"/>
                  <w:u w:val="none"/>
                  <w:effect w:val="none"/>
                </w:rPr>
                <w:t>2</w:t>
              </w:r>
            </w:hyperlink>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9bb953f26a4cd58095f8c6d091a7e3_13">
              <w:r>
                <w:rPr>
                  <w:rStyle w:val="InternetLink"/>
                  <w:rFonts w:ascii="Times New Roman;serif" w:hAnsi="Times New Roman;serif"/>
                  <w:b/>
                  <w:color w:val="0000FF"/>
                  <w:sz w:val="20"/>
                  <w:u w:val="single"/>
                </w:rPr>
                <w:t>PART I.</w:t>
              </w:r>
            </w:hyperlink>
          </w:p>
        </w:tc>
        <w:tc>
          <w:tcPr>
            <w:tcW w:w="6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9bb953f26a4cd58095f8c6d091a7e3_13">
              <w:r>
                <w:rPr>
                  <w:rStyle w:val="InternetLink"/>
                  <w:rFonts w:ascii="Times New Roman;serif" w:hAnsi="Times New Roman;serif"/>
                  <w:b/>
                  <w:color w:val="0000FF"/>
                  <w:sz w:val="20"/>
                  <w:u w:val="single"/>
                </w:rPr>
                <w:t>FINANCIAL INFORMATION</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09bb953f26a4cd58095f8c6d091a7e3_13">
              <w:r>
                <w:rPr>
                  <w:rStyle w:val="InternetLink"/>
                  <w:rFonts w:ascii="Times New Roman;serif" w:hAnsi="Times New Roman;serif"/>
                  <w:b w:val="false"/>
                  <w:strike w:val="false"/>
                  <w:dstrike w:val="false"/>
                  <w:color w:val="000000"/>
                  <w:sz w:val="20"/>
                  <w:u w:val="none"/>
                  <w:effect w:val="none"/>
                </w:rPr>
                <w:t>3</w:t>
              </w:r>
            </w:hyperlink>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9bb953f26a4cd58095f8c6d091a7e3_16">
              <w:r>
                <w:rPr>
                  <w:rStyle w:val="InternetLink"/>
                  <w:rFonts w:ascii="Times New Roman;serif" w:hAnsi="Times New Roman;serif"/>
                  <w:b w:val="false"/>
                  <w:color w:val="0000FF"/>
                  <w:sz w:val="20"/>
                  <w:u w:val="single"/>
                </w:rPr>
                <w:t>Item 1.</w:t>
              </w:r>
            </w:hyperlink>
          </w:p>
        </w:tc>
        <w:tc>
          <w:tcPr>
            <w:tcW w:w="6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9bb953f26a4cd58095f8c6d091a7e3_16">
              <w:r>
                <w:rPr>
                  <w:rStyle w:val="InternetLink"/>
                  <w:rFonts w:ascii="Times New Roman;serif" w:hAnsi="Times New Roman;serif"/>
                  <w:b w:val="false"/>
                  <w:color w:val="0000FF"/>
                  <w:sz w:val="20"/>
                  <w:u w:val="single"/>
                </w:rPr>
                <w:t>Financial Statements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09bb953f26a4cd58095f8c6d091a7e3_16">
              <w:r>
                <w:rPr>
                  <w:rStyle w:val="InternetLink"/>
                  <w:rFonts w:ascii="Times New Roman;serif" w:hAnsi="Times New Roman;serif"/>
                  <w:b w:val="false"/>
                  <w:strike w:val="false"/>
                  <w:dstrike w:val="false"/>
                  <w:color w:val="000000"/>
                  <w:sz w:val="20"/>
                  <w:u w:val="none"/>
                  <w:effect w:val="none"/>
                </w:rPr>
                <w:t>3</w:t>
              </w:r>
            </w:hyperlink>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9bb953f26a4cd58095f8c6d091a7e3_19">
              <w:r>
                <w:rPr>
                  <w:rStyle w:val="InternetLink"/>
                  <w:rFonts w:ascii="Times New Roman;serif" w:hAnsi="Times New Roman;serif"/>
                  <w:b w:val="false"/>
                  <w:color w:val="0000FF"/>
                  <w:sz w:val="20"/>
                  <w:u w:val="single"/>
                </w:rPr>
                <w:t xml:space="preserve">Consolidated Balance Sheets </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09bb953f26a4cd58095f8c6d091a7e3_19">
              <w:r>
                <w:rPr>
                  <w:rStyle w:val="InternetLink"/>
                  <w:rFonts w:ascii="Times New Roman;serif" w:hAnsi="Times New Roman;serif"/>
                  <w:b w:val="false"/>
                  <w:strike w:val="false"/>
                  <w:dstrike w:val="false"/>
                  <w:color w:val="000000"/>
                  <w:sz w:val="20"/>
                  <w:u w:val="none"/>
                  <w:effect w:val="none"/>
                </w:rPr>
                <w:t>3</w:t>
              </w:r>
            </w:hyperlink>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9bb953f26a4cd58095f8c6d091a7e3_22">
              <w:r>
                <w:rPr>
                  <w:rStyle w:val="InternetLink"/>
                  <w:rFonts w:ascii="Times New Roman;serif" w:hAnsi="Times New Roman;serif"/>
                  <w:b w:val="false"/>
                  <w:color w:val="0000FF"/>
                  <w:sz w:val="20"/>
                  <w:u w:val="single"/>
                </w:rPr>
                <w:t>Consolidated Statements of Operations and Comprehensive Loss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09bb953f26a4cd58095f8c6d091a7e3_22">
              <w:r>
                <w:rPr>
                  <w:rStyle w:val="InternetLink"/>
                  <w:rFonts w:ascii="Times New Roman;serif" w:hAnsi="Times New Roman;serif"/>
                  <w:b w:val="false"/>
                  <w:strike w:val="false"/>
                  <w:dstrike w:val="false"/>
                  <w:color w:val="000000"/>
                  <w:sz w:val="20"/>
                  <w:u w:val="none"/>
                  <w:effect w:val="none"/>
                </w:rPr>
                <w:t>4</w:t>
              </w:r>
            </w:hyperlink>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9bb953f26a4cd58095f8c6d091a7e3_25">
              <w:r>
                <w:rPr>
                  <w:rStyle w:val="InternetLink"/>
                  <w:rFonts w:ascii="Times New Roman;serif" w:hAnsi="Times New Roman;serif"/>
                  <w:b w:val="false"/>
                  <w:color w:val="0000FF"/>
                  <w:sz w:val="20"/>
                  <w:u w:val="single"/>
                </w:rPr>
                <w:t xml:space="preserve">Consolidated Statements of Stockholders’ Equity </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09bb953f26a4cd58095f8c6d091a7e3_25">
              <w:r>
                <w:rPr>
                  <w:rStyle w:val="InternetLink"/>
                  <w:rFonts w:ascii="Times New Roman;serif" w:hAnsi="Times New Roman;serif"/>
                  <w:b w:val="false"/>
                  <w:strike w:val="false"/>
                  <w:dstrike w:val="false"/>
                  <w:color w:val="000000"/>
                  <w:sz w:val="20"/>
                  <w:u w:val="none"/>
                  <w:effect w:val="none"/>
                </w:rPr>
                <w:t>5</w:t>
              </w:r>
            </w:hyperlink>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9bb953f26a4cd58095f8c6d091a7e3_28">
              <w:r>
                <w:rPr>
                  <w:rStyle w:val="InternetLink"/>
                  <w:rFonts w:ascii="Times New Roman;serif" w:hAnsi="Times New Roman;serif"/>
                  <w:b w:val="false"/>
                  <w:color w:val="0000FF"/>
                  <w:sz w:val="20"/>
                  <w:u w:val="single"/>
                </w:rPr>
                <w:t xml:space="preserve">Consolidated Statements of Cash Flows </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09bb953f26a4cd58095f8c6d091a7e3_28">
              <w:r>
                <w:rPr>
                  <w:rStyle w:val="InternetLink"/>
                  <w:rFonts w:ascii="Times New Roman;serif" w:hAnsi="Times New Roman;serif"/>
                  <w:b w:val="false"/>
                  <w:strike w:val="false"/>
                  <w:dstrike w:val="false"/>
                  <w:color w:val="000000"/>
                  <w:sz w:val="20"/>
                  <w:u w:val="none"/>
                  <w:effect w:val="none"/>
                </w:rPr>
                <w:t>6</w:t>
              </w:r>
            </w:hyperlink>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9bb953f26a4cd58095f8c6d091a7e3_31">
              <w:r>
                <w:rPr>
                  <w:rStyle w:val="InternetLink"/>
                  <w:rFonts w:ascii="Times New Roman;serif" w:hAnsi="Times New Roman;serif"/>
                  <w:b w:val="false"/>
                  <w:color w:val="0000FF"/>
                  <w:sz w:val="20"/>
                  <w:u w:val="single"/>
                </w:rPr>
                <w:t>Notes to Consolidated Financial Statements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09bb953f26a4cd58095f8c6d091a7e3_31">
              <w:r>
                <w:rPr>
                  <w:rStyle w:val="InternetLink"/>
                  <w:rFonts w:ascii="Times New Roman;serif" w:hAnsi="Times New Roman;serif"/>
                  <w:b w:val="false"/>
                  <w:strike w:val="false"/>
                  <w:dstrike w:val="false"/>
                  <w:color w:val="000000"/>
                  <w:sz w:val="20"/>
                  <w:u w:val="none"/>
                  <w:effect w:val="none"/>
                </w:rPr>
                <w:t>7</w:t>
              </w:r>
            </w:hyperlink>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9bb953f26a4cd58095f8c6d091a7e3_73">
              <w:r>
                <w:rPr>
                  <w:rStyle w:val="InternetLink"/>
                  <w:rFonts w:ascii="Times New Roman;serif" w:hAnsi="Times New Roman;serif"/>
                  <w:b w:val="false"/>
                  <w:color w:val="0000FF"/>
                  <w:sz w:val="20"/>
                  <w:u w:val="single"/>
                </w:rPr>
                <w:t>Item 2.</w:t>
              </w:r>
            </w:hyperlink>
          </w:p>
        </w:tc>
        <w:tc>
          <w:tcPr>
            <w:tcW w:w="6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9bb953f26a4cd58095f8c6d091a7e3_73">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09bb953f26a4cd58095f8c6d091a7e3_73">
              <w:r>
                <w:rPr>
                  <w:rStyle w:val="InternetLink"/>
                  <w:rFonts w:ascii="Times New Roman;serif" w:hAnsi="Times New Roman;serif"/>
                  <w:b w:val="false"/>
                  <w:strike w:val="false"/>
                  <w:dstrike w:val="false"/>
                  <w:color w:val="000000"/>
                  <w:sz w:val="20"/>
                  <w:u w:val="none"/>
                  <w:effect w:val="none"/>
                </w:rPr>
                <w:t>22</w:t>
              </w:r>
            </w:hyperlink>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9bb953f26a4cd58095f8c6d091a7e3_106">
              <w:r>
                <w:rPr>
                  <w:rStyle w:val="InternetLink"/>
                  <w:rFonts w:ascii="Times New Roman;serif" w:hAnsi="Times New Roman;serif"/>
                  <w:b w:val="false"/>
                  <w:color w:val="0000FF"/>
                  <w:sz w:val="20"/>
                  <w:u w:val="single"/>
                </w:rPr>
                <w:t>Item 3.</w:t>
              </w:r>
            </w:hyperlink>
          </w:p>
        </w:tc>
        <w:tc>
          <w:tcPr>
            <w:tcW w:w="6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9bb953f26a4cd58095f8c6d091a7e3_106">
              <w:r>
                <w:rPr>
                  <w:rStyle w:val="InternetLink"/>
                  <w:rFonts w:ascii="Times New Roman;serif" w:hAnsi="Times New Roman;serif"/>
                  <w:b w:val="false"/>
                  <w:color w:val="0000FF"/>
                  <w:sz w:val="20"/>
                  <w:u w:val="single"/>
                </w:rPr>
                <w:t>Quantitative and Qualitative Disclosures About Market Risk</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09bb953f26a4cd58095f8c6d091a7e3_106">
              <w:r>
                <w:rPr>
                  <w:rStyle w:val="InternetLink"/>
                  <w:rFonts w:ascii="Times New Roman;serif" w:hAnsi="Times New Roman;serif"/>
                  <w:b w:val="false"/>
                  <w:strike w:val="false"/>
                  <w:dstrike w:val="false"/>
                  <w:color w:val="000000"/>
                  <w:sz w:val="20"/>
                  <w:u w:val="none"/>
                  <w:effect w:val="none"/>
                </w:rPr>
                <w:t>29</w:t>
              </w:r>
            </w:hyperlink>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9bb953f26a4cd58095f8c6d091a7e3_109">
              <w:r>
                <w:rPr>
                  <w:rStyle w:val="InternetLink"/>
                  <w:rFonts w:ascii="Times New Roman;serif" w:hAnsi="Times New Roman;serif"/>
                  <w:b w:val="false"/>
                  <w:color w:val="0000FF"/>
                  <w:sz w:val="20"/>
                  <w:u w:val="single"/>
                </w:rPr>
                <w:t>Item 4.</w:t>
              </w:r>
            </w:hyperlink>
          </w:p>
        </w:tc>
        <w:tc>
          <w:tcPr>
            <w:tcW w:w="6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9bb953f26a4cd58095f8c6d091a7e3_109">
              <w:r>
                <w:rPr>
                  <w:rStyle w:val="InternetLink"/>
                  <w:rFonts w:ascii="Times New Roman;serif" w:hAnsi="Times New Roman;serif"/>
                  <w:b w:val="false"/>
                  <w:color w:val="0000FF"/>
                  <w:sz w:val="20"/>
                  <w:u w:val="single"/>
                </w:rPr>
                <w:t>Controls and Procedures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09bb953f26a4cd58095f8c6d091a7e3_109">
              <w:r>
                <w:rPr>
                  <w:rStyle w:val="InternetLink"/>
                  <w:rFonts w:ascii="Times New Roman;serif" w:hAnsi="Times New Roman;serif"/>
                  <w:b w:val="false"/>
                  <w:strike w:val="false"/>
                  <w:dstrike w:val="false"/>
                  <w:color w:val="000000"/>
                  <w:sz w:val="20"/>
                  <w:u w:val="none"/>
                  <w:effect w:val="none"/>
                </w:rPr>
                <w:t>29</w:t>
              </w:r>
            </w:hyperlink>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9bb953f26a4cd58095f8c6d091a7e3_112">
              <w:r>
                <w:rPr>
                  <w:rStyle w:val="InternetLink"/>
                  <w:rFonts w:ascii="Times New Roman;serif" w:hAnsi="Times New Roman;serif"/>
                  <w:b/>
                  <w:color w:val="0000FF"/>
                  <w:sz w:val="20"/>
                  <w:u w:val="single"/>
                </w:rPr>
                <w:t>PART II.</w:t>
              </w:r>
            </w:hyperlink>
          </w:p>
        </w:tc>
        <w:tc>
          <w:tcPr>
            <w:tcW w:w="6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9bb953f26a4cd58095f8c6d091a7e3_112">
              <w:r>
                <w:rPr>
                  <w:rStyle w:val="InternetLink"/>
                  <w:rFonts w:ascii="Times New Roman;serif" w:hAnsi="Times New Roman;serif"/>
                  <w:b/>
                  <w:color w:val="0000FF"/>
                  <w:sz w:val="20"/>
                  <w:u w:val="single"/>
                </w:rPr>
                <w:t>OTHER INFORMATION</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09bb953f26a4cd58095f8c6d091a7e3_112">
              <w:r>
                <w:rPr>
                  <w:rStyle w:val="InternetLink"/>
                  <w:rFonts w:ascii="Times New Roman;serif" w:hAnsi="Times New Roman;serif"/>
                  <w:b w:val="false"/>
                  <w:strike w:val="false"/>
                  <w:dstrike w:val="false"/>
                  <w:color w:val="000000"/>
                  <w:sz w:val="20"/>
                  <w:u w:val="none"/>
                  <w:effect w:val="none"/>
                </w:rPr>
                <w:t>29</w:t>
              </w:r>
            </w:hyperlink>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9bb953f26a4cd58095f8c6d091a7e3_115">
              <w:r>
                <w:rPr>
                  <w:rStyle w:val="InternetLink"/>
                  <w:rFonts w:ascii="Times New Roman;serif" w:hAnsi="Times New Roman;serif"/>
                  <w:b w:val="false"/>
                  <w:color w:val="0000FF"/>
                  <w:sz w:val="20"/>
                  <w:u w:val="single"/>
                </w:rPr>
                <w:t>Item 1.</w:t>
              </w:r>
            </w:hyperlink>
          </w:p>
        </w:tc>
        <w:tc>
          <w:tcPr>
            <w:tcW w:w="6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9bb953f26a4cd58095f8c6d091a7e3_115">
              <w:r>
                <w:rPr>
                  <w:rStyle w:val="InternetLink"/>
                  <w:rFonts w:ascii="Times New Roman;serif" w:hAnsi="Times New Roman;serif"/>
                  <w:b w:val="false"/>
                  <w:color w:val="0000FF"/>
                  <w:sz w:val="20"/>
                  <w:u w:val="single"/>
                </w:rPr>
                <w:t>Legal Proceedings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09bb953f26a4cd58095f8c6d091a7e3_115">
              <w:r>
                <w:rPr>
                  <w:rStyle w:val="InternetLink"/>
                  <w:rFonts w:ascii="Times New Roman;serif" w:hAnsi="Times New Roman;serif"/>
                  <w:b w:val="false"/>
                  <w:strike w:val="false"/>
                  <w:dstrike w:val="false"/>
                  <w:color w:val="000000"/>
                  <w:sz w:val="20"/>
                  <w:u w:val="none"/>
                  <w:effect w:val="none"/>
                </w:rPr>
                <w:t>29</w:t>
              </w:r>
            </w:hyperlink>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9bb953f26a4cd58095f8c6d091a7e3_118">
              <w:r>
                <w:rPr>
                  <w:rStyle w:val="InternetLink"/>
                  <w:rFonts w:ascii="Times New Roman;serif" w:hAnsi="Times New Roman;serif"/>
                  <w:b w:val="false"/>
                  <w:color w:val="0000FF"/>
                  <w:sz w:val="20"/>
                  <w:u w:val="single"/>
                </w:rPr>
                <w:t>Item 1A.</w:t>
              </w:r>
            </w:hyperlink>
          </w:p>
        </w:tc>
        <w:tc>
          <w:tcPr>
            <w:tcW w:w="6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9bb953f26a4cd58095f8c6d091a7e3_118">
              <w:r>
                <w:rPr>
                  <w:rStyle w:val="InternetLink"/>
                  <w:rFonts w:ascii="Times New Roman;serif" w:hAnsi="Times New Roman;serif"/>
                  <w:b w:val="false"/>
                  <w:color w:val="0000FF"/>
                  <w:sz w:val="20"/>
                  <w:u w:val="single"/>
                </w:rPr>
                <w:t>Risk Factors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09bb953f26a4cd58095f8c6d091a7e3_118">
              <w:r>
                <w:rPr>
                  <w:rStyle w:val="InternetLink"/>
                  <w:rFonts w:ascii="Times New Roman;serif" w:hAnsi="Times New Roman;serif"/>
                  <w:b w:val="false"/>
                  <w:strike w:val="false"/>
                  <w:dstrike w:val="false"/>
                  <w:color w:val="000000"/>
                  <w:sz w:val="20"/>
                  <w:u w:val="none"/>
                  <w:effect w:val="none"/>
                </w:rPr>
                <w:t>29</w:t>
              </w:r>
            </w:hyperlink>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9bb953f26a4cd58095f8c6d091a7e3_121">
              <w:r>
                <w:rPr>
                  <w:rStyle w:val="InternetLink"/>
                  <w:rFonts w:ascii="Times New Roman;serif" w:hAnsi="Times New Roman;serif"/>
                  <w:b w:val="false"/>
                  <w:color w:val="0000FF"/>
                  <w:sz w:val="20"/>
                  <w:u w:val="single"/>
                </w:rPr>
                <w:t>Item 2.</w:t>
              </w:r>
            </w:hyperlink>
          </w:p>
        </w:tc>
        <w:tc>
          <w:tcPr>
            <w:tcW w:w="6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9bb953f26a4cd58095f8c6d091a7e3_121">
              <w:r>
                <w:rPr>
                  <w:rStyle w:val="InternetLink"/>
                  <w:rFonts w:ascii="Times New Roman;serif" w:hAnsi="Times New Roman;serif"/>
                  <w:b w:val="false"/>
                  <w:color w:val="0000FF"/>
                  <w:sz w:val="20"/>
                  <w:u w:val="single"/>
                </w:rPr>
                <w:t>Unregistered Sales of Equity Securities and Use of Proceeds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09bb953f26a4cd58095f8c6d091a7e3_121">
              <w:r>
                <w:rPr>
                  <w:rStyle w:val="InternetLink"/>
                  <w:rFonts w:ascii="Times New Roman;serif" w:hAnsi="Times New Roman;serif"/>
                  <w:b w:val="false"/>
                  <w:strike w:val="false"/>
                  <w:dstrike w:val="false"/>
                  <w:color w:val="000000"/>
                  <w:sz w:val="20"/>
                  <w:u w:val="none"/>
                  <w:effect w:val="none"/>
                </w:rPr>
                <w:t>30</w:t>
              </w:r>
            </w:hyperlink>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9bb953f26a4cd58095f8c6d091a7e3_124">
              <w:r>
                <w:rPr>
                  <w:rStyle w:val="InternetLink"/>
                  <w:rFonts w:ascii="Times New Roman;serif" w:hAnsi="Times New Roman;serif"/>
                  <w:b w:val="false"/>
                  <w:color w:val="0000FF"/>
                  <w:sz w:val="20"/>
                  <w:u w:val="single"/>
                </w:rPr>
                <w:t>Item 3.</w:t>
              </w:r>
            </w:hyperlink>
          </w:p>
        </w:tc>
        <w:tc>
          <w:tcPr>
            <w:tcW w:w="6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9bb953f26a4cd58095f8c6d091a7e3_124">
              <w:r>
                <w:rPr>
                  <w:rStyle w:val="InternetLink"/>
                  <w:rFonts w:ascii="Times New Roman;serif" w:hAnsi="Times New Roman;serif"/>
                  <w:b w:val="false"/>
                  <w:color w:val="000080"/>
                  <w:sz w:val="20"/>
                  <w:u w:val="single"/>
                </w:rPr>
                <w:t>Default</w:t>
              </w:r>
            </w:hyperlink>
            <w:hyperlink w:anchor="i609bb953f26a4cd58095f8c6d091a7e3_124">
              <w:r>
                <w:rPr>
                  <w:rStyle w:val="InternetLink"/>
                  <w:rFonts w:ascii="Times New Roman;serif" w:hAnsi="Times New Roman;serif"/>
                  <w:b w:val="false"/>
                  <w:color w:val="000080"/>
                  <w:sz w:val="20"/>
                  <w:u w:val="single"/>
                </w:rPr>
                <w:t>s</w:t>
              </w:r>
            </w:hyperlink>
            <w:hyperlink w:anchor="i609bb953f26a4cd58095f8c6d091a7e3_124">
              <w:r>
                <w:rPr>
                  <w:rStyle w:val="InternetLink"/>
                  <w:rFonts w:ascii="Times New Roman;serif" w:hAnsi="Times New Roman;serif"/>
                  <w:b w:val="false"/>
                  <w:color w:val="000080"/>
                  <w:sz w:val="20"/>
                  <w:u w:val="single"/>
                </w:rPr>
                <w:t xml:space="preserve"> </w:t>
              </w:r>
            </w:hyperlink>
            <w:hyperlink w:anchor="i609bb953f26a4cd58095f8c6d091a7e3_124">
              <w:r>
                <w:rPr>
                  <w:rStyle w:val="InternetLink"/>
                  <w:rFonts w:ascii="Times New Roman;serif" w:hAnsi="Times New Roman;serif"/>
                  <w:b w:val="false"/>
                  <w:color w:val="000080"/>
                  <w:sz w:val="20"/>
                  <w:u w:val="single"/>
                </w:rPr>
                <w:t>U</w:t>
              </w:r>
            </w:hyperlink>
            <w:hyperlink w:anchor="i609bb953f26a4cd58095f8c6d091a7e3_124">
              <w:r>
                <w:rPr>
                  <w:rStyle w:val="InternetLink"/>
                  <w:rFonts w:ascii="Times New Roman;serif" w:hAnsi="Times New Roman;serif"/>
                  <w:b w:val="false"/>
                  <w:color w:val="000080"/>
                  <w:sz w:val="20"/>
                  <w:u w:val="single"/>
                </w:rPr>
                <w:t>pon Senior Securities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09bb953f26a4cd58095f8c6d091a7e3_124">
              <w:r>
                <w:rPr>
                  <w:rStyle w:val="InternetLink"/>
                  <w:rFonts w:ascii="Times New Roman;serif" w:hAnsi="Times New Roman;serif"/>
                  <w:b w:val="false"/>
                  <w:strike w:val="false"/>
                  <w:dstrike w:val="false"/>
                  <w:color w:val="000000"/>
                  <w:sz w:val="20"/>
                  <w:u w:val="none"/>
                  <w:effect w:val="none"/>
                </w:rPr>
                <w:t>30</w:t>
              </w:r>
            </w:hyperlink>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9bb953f26a4cd58095f8c6d091a7e3_127">
              <w:r>
                <w:rPr>
                  <w:rStyle w:val="InternetLink"/>
                  <w:rFonts w:ascii="Times New Roman;serif" w:hAnsi="Times New Roman;serif"/>
                  <w:b w:val="false"/>
                  <w:color w:val="0000FF"/>
                  <w:sz w:val="20"/>
                  <w:u w:val="single"/>
                </w:rPr>
                <w:t>Item 4.</w:t>
              </w:r>
            </w:hyperlink>
          </w:p>
        </w:tc>
        <w:tc>
          <w:tcPr>
            <w:tcW w:w="6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9bb953f26a4cd58095f8c6d091a7e3_127">
              <w:r>
                <w:rPr>
                  <w:rStyle w:val="InternetLink"/>
                  <w:rFonts w:ascii="Times New Roman;serif" w:hAnsi="Times New Roman;serif"/>
                  <w:b w:val="false"/>
                  <w:color w:val="0000FF"/>
                  <w:sz w:val="20"/>
                  <w:u w:val="single"/>
                </w:rPr>
                <w:t>Mine Safety Disclosures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09bb953f26a4cd58095f8c6d091a7e3_127">
              <w:r>
                <w:rPr>
                  <w:rStyle w:val="InternetLink"/>
                  <w:rFonts w:ascii="Times New Roman;serif" w:hAnsi="Times New Roman;serif"/>
                  <w:b w:val="false"/>
                  <w:strike w:val="false"/>
                  <w:dstrike w:val="false"/>
                  <w:color w:val="000000"/>
                  <w:sz w:val="20"/>
                  <w:u w:val="none"/>
                  <w:effect w:val="none"/>
                </w:rPr>
                <w:t>30</w:t>
              </w:r>
            </w:hyperlink>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9bb953f26a4cd58095f8c6d091a7e3_130">
              <w:r>
                <w:rPr>
                  <w:rStyle w:val="InternetLink"/>
                  <w:rFonts w:ascii="Times New Roman;serif" w:hAnsi="Times New Roman;serif"/>
                  <w:b w:val="false"/>
                  <w:color w:val="0000FF"/>
                  <w:sz w:val="20"/>
                  <w:u w:val="single"/>
                </w:rPr>
                <w:t>Item 5.</w:t>
              </w:r>
            </w:hyperlink>
          </w:p>
        </w:tc>
        <w:tc>
          <w:tcPr>
            <w:tcW w:w="6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9bb953f26a4cd58095f8c6d091a7e3_130">
              <w:r>
                <w:rPr>
                  <w:rStyle w:val="InternetLink"/>
                  <w:rFonts w:ascii="Times New Roman;serif" w:hAnsi="Times New Roman;serif"/>
                  <w:b w:val="false"/>
                  <w:color w:val="0000FF"/>
                  <w:sz w:val="20"/>
                  <w:u w:val="single"/>
                </w:rPr>
                <w:t>Other Information</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09bb953f26a4cd58095f8c6d091a7e3_130">
              <w:r>
                <w:rPr>
                  <w:rStyle w:val="InternetLink"/>
                  <w:rFonts w:ascii="Times New Roman;serif" w:hAnsi="Times New Roman;serif"/>
                  <w:b w:val="false"/>
                  <w:strike w:val="false"/>
                  <w:dstrike w:val="false"/>
                  <w:color w:val="000000"/>
                  <w:sz w:val="20"/>
                  <w:u w:val="none"/>
                  <w:effect w:val="none"/>
                </w:rPr>
                <w:t>30</w:t>
              </w:r>
            </w:hyperlink>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9bb953f26a4cd58095f8c6d091a7e3_142">
              <w:r>
                <w:rPr>
                  <w:rStyle w:val="InternetLink"/>
                  <w:rFonts w:ascii="Times New Roman;serif" w:hAnsi="Times New Roman;serif"/>
                  <w:b w:val="false"/>
                  <w:color w:val="0000FF"/>
                  <w:sz w:val="20"/>
                  <w:u w:val="single"/>
                </w:rPr>
                <w:t>Item 6.</w:t>
              </w:r>
            </w:hyperlink>
          </w:p>
        </w:tc>
        <w:tc>
          <w:tcPr>
            <w:tcW w:w="6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9bb953f26a4cd58095f8c6d091a7e3_142">
              <w:r>
                <w:rPr>
                  <w:rStyle w:val="InternetLink"/>
                  <w:rFonts w:ascii="Times New Roman;serif" w:hAnsi="Times New Roman;serif"/>
                  <w:b w:val="false"/>
                  <w:color w:val="0000FF"/>
                  <w:sz w:val="20"/>
                  <w:u w:val="single"/>
                </w:rPr>
                <w:t>Exhibits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09bb953f26a4cd58095f8c6d091a7e3_142">
              <w:r>
                <w:rPr>
                  <w:rStyle w:val="InternetLink"/>
                  <w:rFonts w:ascii="Times New Roman;serif" w:hAnsi="Times New Roman;serif"/>
                  <w:b w:val="false"/>
                  <w:strike w:val="false"/>
                  <w:dstrike w:val="false"/>
                  <w:color w:val="000000"/>
                  <w:sz w:val="20"/>
                  <w:u w:val="none"/>
                  <w:effect w:val="none"/>
                </w:rPr>
                <w:t>31</w:t>
              </w:r>
            </w:hyperlink>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SIGNATURE</w:t>
            </w:r>
          </w:p>
        </w:tc>
        <w:tc>
          <w:tcPr>
            <w:tcW w:w="6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09bb953f26a4cd58095f8c6d091a7e3_145">
              <w:r>
                <w:rPr>
                  <w:rStyle w:val="InternetLink"/>
                  <w:rFonts w:ascii="Times New Roman;serif" w:hAnsi="Times New Roman;serif"/>
                  <w:b w:val="false"/>
                  <w:strike w:val="false"/>
                  <w:dstrike w:val="false"/>
                  <w:color w:val="000000"/>
                  <w:sz w:val="20"/>
                  <w:u w:val="none"/>
                  <w:effect w:val="none"/>
                </w:rPr>
                <w:t>32</w:t>
              </w:r>
            </w:hyperlink>
          </w:p>
        </w:tc>
      </w:tr>
    </w:tbl>
    <w:p>
      <w:pPr>
        <w:pStyle w:val="TextBody"/>
        <w:bidi w:val="0"/>
        <w:spacing w:before="240" w:after="283"/>
        <w:ind w:left="0" w:right="0" w:firstLine="720"/>
        <w:jc w:val="both"/>
        <w:rPr/>
      </w:pPr>
      <w:r>
        <w:rPr/>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this report, unless otherwise stated or the context otherwise indicates, references to “Xencor,” the “Company,” “we,” “us,” “our” and similar references refer to Xencor, Inc. The Xencor logo is a registered trademark of Xencor, Inc. This report also contains registered marks, trademarks, and trade names of other companies. All other trademarks, registered marks and trade names appearing in this report are the property of their respective holders.</w:t>
      </w:r>
    </w:p>
    <w:p>
      <w:pPr>
        <w:pStyle w:val="TextBody"/>
        <w:bidi w:val="0"/>
        <w:spacing w:before="120" w:after="283"/>
        <w:ind w:left="0" w:right="0" w:firstLine="540"/>
        <w:jc w:val="both"/>
        <w:rPr/>
      </w:pPr>
      <w:r>
        <w:rPr/>
      </w:r>
    </w:p>
    <w:p>
      <w:pPr>
        <w:pStyle w:val="TextBody"/>
        <w:bidi w:val="0"/>
        <w:spacing w:before="12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609bb953f26a4cd58095f8c6d091a7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This Quarterly Report on Form 10-Q contains certain forward-looking statements within the meaning of Section 27A of the Securities Act of 1933, as amended, and Section 21E of the Securities Exchange Act of 1934, as amended, and we intend that such forward-looking statements be subject to the safe harbors created thereby. Any statements contained in this Quarterly Report on Form 10-Q except for historical information, including statements regarding our future results of operations and financial position, our business strategy and plans, and our objectives for future operations, may be deemed to be forward-looking statements. Without limiting the generality of the foregoing, words such as “may,” “might,” “will,” “expect,” “believe,” “anticipate,” “goal,” “endeavor,” “strive,” “intend,” “plan,” “project,” “could,” “estimate,” “target,” “forecast,” or “continue” or the negative of these words or other variations thereof or comparable terminology are intended to identify forward-looking statements.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These forward-looking statements should, therefore, be considered in light of various important factors, including but not limited to, the following: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effects of inflation on our financial condition, results of operations, cash flows and performance;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our ability to execute on our plans to research, develop and commercialize our product candidates;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the success of our ongoing and planned clinical trials;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the timing of and our ability to obtain and maintain regulatory approvals for our product candidates;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our ability to identify additional products or product candidates with significant commercial potential that are consistent with our business objectives;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our ability to receive research funding and achieve anticipated milestones under our collaborations;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partners’ abilities to advance drug candidates into, and successfully complete, clinical trials;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ability to attract collaborators with development, regulatory, and commercialization expertise;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our ability to protect our intellectual property position;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the rate and degree of market acceptance and clinical utility of our products;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costs of compliance and our failure to comply with new and existing governmental regulations;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the capabilities and strategy of our suppliers and vendors including key manufacturers of our clinical drug supplies;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significant competition in our industry;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the potential loss or retirement of key members of management;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failure to successfully execute our growth strategy including any delays in our planned future growth;</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failure to maintain effective internal controls, which previously led to the restatement of our financial statements, and the risk that we may experience additional material weaknesses;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ability to accurately estimate expenses, future revenues, capital requirements and needs for additional financing.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included herein are based on current expectations of the Company’s management based on available information and involve a number of risks and uncertainties, all of which are difficult or impossible to predict accurately, and many of which are beyond its control. As such, the Company’s actual results and timing of certain events may differ materially from the results discussed, projected, anticipated or indicated in any forward-looking statements. Forward-looking statements are not guarantees of future performance and the Company’s actual results of operations, financial condition and cash flows may differ materially. Factors that may cause or contribute to such differences include, but are not limited to, those discussed in more detail in Item 1A. “Risk Factors” of Part II of this Quarterly Report on Form 10-Q. Readers should carefully review these risks, as well as the additional risks described in other documents the Company files from time to time with the Securities and Exchange Commission (the “SEC”). In light of the significant risks and uncertainties inherent in the forward-looking information included herein, the inclusion of such information should not be regarded as a representation by the Company or any other person that such results will be achieved, and readers are cautioned not to place undue reliance on such forward-looking information. Statements made herein are as of the date of the filing of this Quarterly Report on Form 10-Q with the SEC and should not be relied upon as of any subsequent date. Except as may be required by law, the Company disclaims any intent to revise the forward-looking statements contained herein to reflect events or circumstances after the date hereof or to reflect the occurrence of unanticipated events.</w:t>
      </w:r>
    </w:p>
    <w:p>
      <w:pPr>
        <w:pStyle w:val="TextBody"/>
        <w:bidi w:val="0"/>
        <w:spacing w:before="12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609bb953f26a4cd58095f8c6d091a7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Xencor,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 except per share amounts)</w:t>
      </w:r>
    </w:p>
    <w:tbl>
      <w:tblPr>
        <w:tblW w:w="9947" w:type="dxa"/>
        <w:jc w:val="left"/>
        <w:tblInd w:w="0" w:type="dxa"/>
        <w:tblLayout w:type="fixed"/>
        <w:tblCellMar>
          <w:top w:w="28" w:type="dxa"/>
          <w:left w:w="28" w:type="dxa"/>
          <w:bottom w:w="28" w:type="dxa"/>
          <w:right w:w="28" w:type="dxa"/>
        </w:tblCellMar>
      </w:tblPr>
      <w:tblGrid>
        <w:gridCol w:w="2682"/>
        <w:gridCol w:w="2361"/>
        <w:gridCol w:w="2397"/>
        <w:gridCol w:w="196"/>
        <w:gridCol w:w="736"/>
        <w:gridCol w:w="109"/>
        <w:gridCol w:w="109"/>
        <w:gridCol w:w="109"/>
        <w:gridCol w:w="109"/>
        <w:gridCol w:w="205"/>
        <w:gridCol w:w="773"/>
        <w:gridCol w:w="161"/>
      </w:tblGrid>
      <w:tr>
        <w:trPr/>
        <w:tc>
          <w:tcPr>
            <w:tcW w:w="2682"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23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54,073 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Marketable debt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381,158 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Marketable equity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112,502 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Accounts receivable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29,299 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22,789 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current assets </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523,213 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599,821 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Marketable debt securities - long term</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175,602 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Property and equipment, net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53,308 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Right-of-use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37,592 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Patents, licenses, and other intangible assets, net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8,385 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assets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Total assets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724,960 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875,495 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Liabilities and Stockholders’ Equity </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Accounts payable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10,828 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Accrued expenses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34,960 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Liabilities related to the sales of future royalties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43,267 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current liabilities </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81,865 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95,907 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tax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liabilities, net of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64,735 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Liabilities related to the sales of future royalties, net of 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76,482 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Total liabilities </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221,732 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239,908 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Commitments and contingencies </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 and stockholders’ equity</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$0.01 par value: Authorized 200,000 shares</w:t>
            </w:r>
          </w:p>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Issued and outstanding 74,329 and 71,872 shares at June 30, 2026 and December 31, 2025,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Additional paid-in capital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1,449,960 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1,429,252 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Accumulated deficit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(946,604)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(795,959)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stockholders’ equity attributable to Xencor, Inc.</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503,228 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635,587 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noncontrolling interest and stockholders’ equity </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503,228 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635,587 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Total liabilities and stockholders’ equity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724,960 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875,495 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609bb953f26a4cd58095f8c6d091a7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Xencor,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 and Comprehensive Loss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 except per share amounts)</w:t>
      </w:r>
    </w:p>
    <w:tbl>
      <w:tblPr>
        <w:tblW w:w="10205" w:type="dxa"/>
        <w:jc w:val="left"/>
        <w:tblInd w:w="0" w:type="dxa"/>
        <w:tblLayout w:type="fixed"/>
        <w:tblCellMar>
          <w:top w:w="28" w:type="dxa"/>
          <w:left w:w="28" w:type="dxa"/>
          <w:bottom w:w="28" w:type="dxa"/>
          <w:right w:w="28" w:type="dxa"/>
        </w:tblCellMar>
      </w:tblPr>
      <w:tblGrid>
        <w:gridCol w:w="1845"/>
        <w:gridCol w:w="1583"/>
        <w:gridCol w:w="1600"/>
        <w:gridCol w:w="196"/>
        <w:gridCol w:w="709"/>
        <w:gridCol w:w="109"/>
        <w:gridCol w:w="109"/>
        <w:gridCol w:w="109"/>
        <w:gridCol w:w="109"/>
        <w:gridCol w:w="196"/>
        <w:gridCol w:w="709"/>
        <w:gridCol w:w="109"/>
        <w:gridCol w:w="109"/>
        <w:gridCol w:w="109"/>
        <w:gridCol w:w="109"/>
        <w:gridCol w:w="196"/>
        <w:gridCol w:w="799"/>
        <w:gridCol w:w="109"/>
        <w:gridCol w:w="109"/>
        <w:gridCol w:w="109"/>
        <w:gridCol w:w="109"/>
        <w:gridCol w:w="196"/>
        <w:gridCol w:w="709"/>
        <w:gridCol w:w="159"/>
      </w:tblGrid>
      <w:tr>
        <w:trPr/>
        <w:tc>
          <w:tcPr>
            <w:tcW w:w="1845"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10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Collaborations, milestones, and royalties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76,340 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0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Research and development </w:t>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120,243 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General and administrative </w:t>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32,452 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9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170,667 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152,695 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loss</w:t>
            </w:r>
          </w:p>
        </w:tc>
        <w:tc>
          <w:tcPr>
            <w:tcW w:w="9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(37,068)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(33,172)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(114,930)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(76,355)</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income (expense):</w:t>
            </w:r>
          </w:p>
        </w:tc>
        <w:tc>
          <w:tcPr>
            <w:tcW w:w="1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14,786 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(16,908)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(losses) on equity securities, net</w:t>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impairment charges</w:t>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(expense)</w:t>
            </w:r>
          </w:p>
        </w:tc>
        <w:tc>
          <w:tcPr>
            <w:tcW w:w="9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(35,625)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(2,985)</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income tax expense (benefit) and noncontrolling interest</w:t>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(150,555)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(79,340)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expense</w:t>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including noncontrolling interest</w:t>
            </w:r>
          </w:p>
        </w:tc>
        <w:tc>
          <w:tcPr>
            <w:tcW w:w="9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(21,729)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(30,825)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(150,645)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(79,457)</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noncontrolling interest</w:t>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 attributable to Xencor, Inc.</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(21,729)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(30,825)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(150,645)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(79,243)</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 attributable to Xencor, Inc. (basic and diluted)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8"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5028"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5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shares used in calculating net loss per share (basic and diluted)</w:t>
            </w:r>
          </w:p>
        </w:tc>
        <w:tc>
          <w:tcPr>
            <w:tcW w:w="1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73,975</w:t>
            </w:r>
          </w:p>
        </w:tc>
      </w:tr>
      <w:tr>
        <w:trPr/>
        <w:tc>
          <w:tcPr>
            <w:tcW w:w="5028"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5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net of tax:</w:t>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unrealized (loss) gain on marketable debt securities</w:t>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(22,628)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(30,922)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(153,093)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(78,536)</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comprehensive loss attributable to the noncontrolling interest</w:t>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w:t>
            </w:r>
          </w:p>
        </w:tc>
      </w:tr>
      <w:tr>
        <w:trPr/>
        <w:tc>
          <w:tcPr>
            <w:tcW w:w="5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 attributable to Xencor, Inc.</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(22,628)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(30,922)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(153,093)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(78,322)</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609bb953f26a4cd58095f8c6d091a7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Xencor,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w:t>
      </w:r>
    </w:p>
    <w:tbl>
      <w:tblPr>
        <w:tblW w:w="10205" w:type="dxa"/>
        <w:jc w:val="left"/>
        <w:tblInd w:w="0" w:type="dxa"/>
        <w:tblLayout w:type="fixed"/>
        <w:tblCellMar>
          <w:top w:w="28" w:type="dxa"/>
          <w:left w:w="28" w:type="dxa"/>
          <w:bottom w:w="28" w:type="dxa"/>
          <w:right w:w="28" w:type="dxa"/>
        </w:tblCellMar>
      </w:tblPr>
      <w:tblGrid>
        <w:gridCol w:w="710"/>
        <w:gridCol w:w="463"/>
        <w:gridCol w:w="464"/>
        <w:gridCol w:w="109"/>
        <w:gridCol w:w="109"/>
        <w:gridCol w:w="109"/>
        <w:gridCol w:w="203"/>
        <w:gridCol w:w="203"/>
        <w:gridCol w:w="171"/>
        <w:gridCol w:w="109"/>
        <w:gridCol w:w="109"/>
        <w:gridCol w:w="109"/>
        <w:gridCol w:w="181"/>
        <w:gridCol w:w="361"/>
        <w:gridCol w:w="109"/>
        <w:gridCol w:w="109"/>
        <w:gridCol w:w="109"/>
        <w:gridCol w:w="109"/>
        <w:gridCol w:w="181"/>
        <w:gridCol w:w="721"/>
        <w:gridCol w:w="109"/>
        <w:gridCol w:w="109"/>
        <w:gridCol w:w="109"/>
        <w:gridCol w:w="109"/>
        <w:gridCol w:w="244"/>
        <w:gridCol w:w="629"/>
        <w:gridCol w:w="148"/>
        <w:gridCol w:w="109"/>
        <w:gridCol w:w="109"/>
        <w:gridCol w:w="109"/>
        <w:gridCol w:w="181"/>
        <w:gridCol w:w="641"/>
        <w:gridCol w:w="109"/>
        <w:gridCol w:w="109"/>
        <w:gridCol w:w="109"/>
        <w:gridCol w:w="109"/>
        <w:gridCol w:w="294"/>
        <w:gridCol w:w="661"/>
        <w:gridCol w:w="179"/>
        <w:gridCol w:w="109"/>
        <w:gridCol w:w="109"/>
        <w:gridCol w:w="109"/>
        <w:gridCol w:w="181"/>
        <w:gridCol w:w="616"/>
        <w:gridCol w:w="157"/>
      </w:tblGrid>
      <w:tr>
        <w:trPr/>
        <w:tc>
          <w:tcPr>
            <w:tcW w:w="710"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Total</w:t>
            </w:r>
          </w:p>
        </w:tc>
      </w:tr>
      <w:tr>
        <w:trPr/>
        <w:tc>
          <w:tcPr>
            <w:tcW w:w="1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71,872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1,429,252 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1,576 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(795,959)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635,587 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9,561 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950 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Issuance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Exercise of pre-funded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1,388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Net unrealized loss on marketable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(1,549)</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(1,549)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(128,916)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(128,916)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Balance at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74,064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3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1,439,740 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27 </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(924,875)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515,633 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9,192 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9,192 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Issuance of common stock under the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996 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Issuance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Net unrealized loss on marketable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(899)</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(899)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(21,729)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(21,729)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Balance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74,329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744 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1,449,960 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(872)</w:t>
            </w:r>
          </w:p>
        </w:tc>
        <w:tc>
          <w:tcPr>
            <w:tcW w:w="1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(946,604)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503,228 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70"/>
        <w:gridCol w:w="465"/>
        <w:gridCol w:w="467"/>
        <w:gridCol w:w="109"/>
        <w:gridCol w:w="109"/>
        <w:gridCol w:w="109"/>
        <w:gridCol w:w="170"/>
        <w:gridCol w:w="170"/>
        <w:gridCol w:w="171"/>
        <w:gridCol w:w="109"/>
        <w:gridCol w:w="109"/>
        <w:gridCol w:w="109"/>
        <w:gridCol w:w="181"/>
        <w:gridCol w:w="361"/>
        <w:gridCol w:w="109"/>
        <w:gridCol w:w="109"/>
        <w:gridCol w:w="109"/>
        <w:gridCol w:w="109"/>
        <w:gridCol w:w="181"/>
        <w:gridCol w:w="721"/>
        <w:gridCol w:w="109"/>
        <w:gridCol w:w="109"/>
        <w:gridCol w:w="109"/>
        <w:gridCol w:w="109"/>
        <w:gridCol w:w="277"/>
        <w:gridCol w:w="576"/>
        <w:gridCol w:w="168"/>
        <w:gridCol w:w="109"/>
        <w:gridCol w:w="109"/>
        <w:gridCol w:w="109"/>
        <w:gridCol w:w="181"/>
        <w:gridCol w:w="641"/>
        <w:gridCol w:w="109"/>
        <w:gridCol w:w="109"/>
        <w:gridCol w:w="109"/>
        <w:gridCol w:w="109"/>
        <w:gridCol w:w="265"/>
        <w:gridCol w:w="707"/>
        <w:gridCol w:w="162"/>
        <w:gridCol w:w="109"/>
        <w:gridCol w:w="109"/>
        <w:gridCol w:w="109"/>
        <w:gridCol w:w="181"/>
        <w:gridCol w:w="616"/>
        <w:gridCol w:w="158"/>
      </w:tblGrid>
      <w:tr>
        <w:trPr/>
        <w:tc>
          <w:tcPr>
            <w:tcW w:w="770"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Total</w:t>
            </w:r>
          </w:p>
        </w:tc>
      </w:tr>
      <w:tr>
        <w:trPr/>
        <w:tc>
          <w:tcPr>
            <w:tcW w:w="1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70,256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1,381,607 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5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(663)</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(704,036)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(3,585)</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674,026 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12,213 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2,974 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Issuance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Net unrealized gain on marketable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1,018 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1,018 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Purchase of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(5,524)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3,799 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(1,725)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(48,418)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(214)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(48,632)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Balance at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71,136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3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1,391,261 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5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355 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(752,454)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639,874 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10,737 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10,737 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Issuance of common stock under the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662 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Issuance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Net unrealized loss on marketable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(30,825)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(30,825)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Balance at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71,297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3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714 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1,402,658 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5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258 </w:t>
            </w:r>
          </w:p>
        </w:tc>
        <w:tc>
          <w:tcPr>
            <w:tcW w:w="1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(783,279)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620,351 </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609bb953f26a4cd58095f8c6d091a7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Xencor,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w:t>
      </w:r>
    </w:p>
    <w:tbl>
      <w:tblPr>
        <w:tblW w:w="8408" w:type="dxa"/>
        <w:jc w:val="left"/>
        <w:tblInd w:w="0" w:type="dxa"/>
        <w:tblLayout w:type="fixed"/>
        <w:tblCellMar>
          <w:top w:w="28" w:type="dxa"/>
          <w:left w:w="28" w:type="dxa"/>
          <w:bottom w:w="28" w:type="dxa"/>
          <w:right w:w="28" w:type="dxa"/>
        </w:tblCellMar>
      </w:tblPr>
      <w:tblGrid>
        <w:gridCol w:w="2135"/>
        <w:gridCol w:w="1877"/>
        <w:gridCol w:w="1882"/>
        <w:gridCol w:w="196"/>
        <w:gridCol w:w="811"/>
        <w:gridCol w:w="109"/>
        <w:gridCol w:w="109"/>
        <w:gridCol w:w="109"/>
        <w:gridCol w:w="109"/>
        <w:gridCol w:w="196"/>
        <w:gridCol w:w="721"/>
        <w:gridCol w:w="154"/>
      </w:tblGrid>
      <w:tr>
        <w:trPr/>
        <w:tc>
          <w:tcPr>
            <w:tcW w:w="2135"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Cash flows from operating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(150,645)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(79,457)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Adjustments to reconcile net loss to net cash used in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Depreciation and amortization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Accretion of discount on marketable debt securities,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Stock-based compensation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22,950 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Loss (gain) on sale of marketable securities,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Change in fair value of marketable equity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Asset impairment charges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6,723 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Non-cash royalty revenue related to the sale of future royalties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(17,201)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(36,831)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Non-cash interest expense on liabilities related to the sale of future royalties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16,906 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Changes in operating assets and liabilities: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receivable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(22,636)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14,636 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Prepaid expenses and other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Accounts payable </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Accrued expenses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assets and liabilities,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Net cash used in operating activities </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(123,286)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(52,589)</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Cash flows from investing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Purchase of marketable debt securities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(72,679)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(176,810)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Purchase of property and equipment </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Proceeds from sales of marketable equity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13,399 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Proceeds from sales of marketable debt securities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Proceeds from maturities of marketable debt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154,966 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219,382 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Net cash provided by investing activities </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111,797 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54,144 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Cash flows from financing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Proceeds from the exercises of stock options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Proceeds from issuance of common stock under the Employee Stock Purchase Plan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paid to acquire noncontrolling interest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Net cash provided by financing activities </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1,911 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Net (decrease) increase in cash, cash equivalents, and restricted cash</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7"/>
              </w:rPr>
              <w:t>Cash, cash equivalents, and restricted cash</w:t>
            </w:r>
            <w:r>
              <w:rPr>
                <w:rFonts w:ascii="Times New Roman;serif" w:hAnsi="Times New Roman;serif"/>
                <w:b w:val="false"/>
                <w:color w:val="000000"/>
                <w:sz w:val="17"/>
              </w:rPr>
              <w:t xml:space="preserve">, beginning of period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41,262 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7"/>
              </w:rPr>
              <w:t>Cash, cash equivalents, and restricted cash</w:t>
            </w:r>
            <w:r>
              <w:rPr>
                <w:rFonts w:ascii="Times New Roman;serif" w:hAnsi="Times New Roman;serif"/>
                <w:b w:val="false"/>
                <w:color w:val="000000"/>
                <w:sz w:val="17"/>
              </w:rPr>
              <w:t xml:space="preserve">, end of period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44,854 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44,728 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Supplemental disclosure of cash flow information</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Interest paid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Income taxes paid:</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Federal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State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Foreign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4,134 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7,000 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609bb953f26a4cd58095f8c6d091a7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Xencor,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 Organization and Summary of Significant Accounting Policies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Organization</w:t>
      </w:r>
    </w:p>
    <w:p>
      <w:pPr>
        <w:pStyle w:val="TextBody"/>
        <w:bidi w:val="0"/>
        <w:spacing w:lineRule="auto" w:line="288" w:before="120" w:after="283"/>
        <w:ind w:left="0" w:right="0" w:firstLine="540"/>
        <w:jc w:val="both"/>
        <w:rPr/>
      </w:pPr>
      <w:r>
        <w:rPr>
          <w:rFonts w:ascii="Times New Roman;serif" w:hAnsi="Times New Roman;serif"/>
          <w:b w:val="false"/>
          <w:color w:val="000000"/>
          <w:sz w:val="20"/>
        </w:rPr>
        <w:t>Xencor, Inc. (the “Company”) was incorporated in California in 1997 and reincorporated in Delaware in September 2004. The Company is a clinical-stage biopharmaceutical company focused on discovering and developing engineered antibody therapeutics to treat patients with cancer and autoimmune diseases who have unmet medical needs. The Company uses its protein engineering capabilities to design new technologies and XmAb</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drug candidates with improved properties. The Company advances these candidates into clinical-stage development, where the Company is conducting Phase 1 and Phase 2 studies for a broad portfolio of programs. Based on the results of these studies, the Company determines which programs to advance into later stages of development and potentially commercialization, which to partner in order to access complementary resources to optimize development, and which to discontinue.</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Consolidation and Basis of Presentation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interim consolidated financial statements of the Company are unaudited and have been prepared in accordance with U.S. generally accepted accounting principles (“GAAP”) applicable to interim periods. In the opinion of management, all material adjustments of a normal recurring nature have been made to present fairly the Company’s financial position, the results of operations and cash flows for the periods presented. All intercompany transactions and balances have been eliminated.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Certain note disclosures that are normally included in annual financial statements prepared in accordance with GAAP have been condensed or omitted as they are not required for interim reporting purposes. Readers are urged to review the Company’s Annual Report on Form 10-K for the year ended December 31, 2025 for more complete descriptions and discussions. Operating results and cash flows for the six months ended June 30, 2026 are not necessarily indicative of the results that may be expected for the fiscal year ending December 31, 2026.</w:t>
      </w:r>
    </w:p>
    <w:p>
      <w:pPr>
        <w:pStyle w:val="TextBody"/>
        <w:bidi w:val="0"/>
        <w:spacing w:lineRule="auto" w:line="288" w:before="120" w:after="283"/>
        <w:ind w:left="0" w:right="0" w:firstLine="540"/>
        <w:jc w:val="both"/>
        <w:rPr>
          <w:rFonts w:ascii="Times New Roman;serif" w:hAnsi="Times New Roman;serif"/>
          <w:b/>
          <w:color w:val="000000"/>
          <w:sz w:val="20"/>
          <w:u w:val="single"/>
        </w:rPr>
      </w:pPr>
      <w:r>
        <w:rPr>
          <w:rFonts w:ascii="Times New Roman;serif" w:hAnsi="Times New Roman;serif"/>
          <w:b/>
          <w:color w:val="000000"/>
          <w:sz w:val="20"/>
          <w:u w:val="single"/>
        </w:rPr>
        <w:t xml:space="preserve">Gale Therapeutics Inc. (“Gale”)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interim consolidated financial statements for the six months ended June 30, 2025 included the accounts of the Company and Gale, a variable interest entity for which the Company was the primary beneficiary. Up through January 20, 2025, the Company owned or was exposed to less than 100% of the economics, and accordingly, the Company recorded net loss attributable to noncontrolling interests in its consolidated statements of operations and comprehensive loss equal to the percentage of the economic or ownership interests retained in such entity by the respective noncontrolling party. Effective January 20, 2025, the Company obtained 100% of the economic interests in Gale and no longer recognized a noncontrolling interest in its consolidated financial statements.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Effective April 29, 2025, Gale was merged into the Company in a transaction between entities under common control. The Company completed a common-control transfer of assets and liabilities with Gale. The assets and liabilities were recognized at historical carrying amounts; no fair value measurement was applied. This transaction did not result in a change in reporting entity and was accounted for prospectively, with no adjustments to prior periods.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 xml:space="preserve">Income Tax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The Company recorded an income tax benefit of $0.2 million and an income tax expense of $0.1 million for the three and six months ended June 30, 2026, respectively</w:t>
      </w:r>
      <w:r>
        <w:rPr>
          <w:rFonts w:ascii="Times New Roman;serif" w:hAnsi="Times New Roman;serif"/>
          <w:b w:val="false"/>
          <w:color w:val="3051F2"/>
          <w:sz w:val="20"/>
        </w:rPr>
        <w:t>.</w:t>
      </w:r>
      <w:r>
        <w:rPr>
          <w:color w:val="000000"/>
        </w:rPr>
        <w:t xml:space="preserve"> </w:t>
      </w:r>
      <w:r>
        <w:rPr>
          <w:rFonts w:ascii="Times New Roman;serif" w:hAnsi="Times New Roman;serif"/>
          <w:b w:val="false"/>
          <w:color w:val="000000"/>
          <w:sz w:val="20"/>
        </w:rPr>
        <w:t>The Company recorded an income tax benefit of $0.3 million and an income tax expense of $0.1 million for the three and six months ended June 30, 2025, respectively. As of June 30, 2026, the Company’s deferred income tax assets, consisting primarily of capitalized R&amp;D under IRC Section 174, net operating loss and research and development tax credit carryforwards, have been fully offset by a valuation allowance.</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Summary of Significant Accounting Policies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to the significant accounting policies disclosed in the Company’s most recent Annual Report on Form 10-K for the fiscal year ended December 31, 2025.</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does not expect any recently issued accounting standards, other than those disclosed in its Annual Report on Form 10-K for the year ended December 31, 2025, to have a material impact on its financial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609bb953f26a4cd58095f8c6d091a7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2. Collaboration and Licensing Agreements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revenue recognized:</w:t>
      </w:r>
    </w:p>
    <w:tbl>
      <w:tblPr>
        <w:tblW w:w="5565" w:type="dxa"/>
        <w:jc w:val="left"/>
        <w:tblInd w:w="0" w:type="dxa"/>
        <w:tblLayout w:type="fixed"/>
        <w:tblCellMar>
          <w:top w:w="28" w:type="dxa"/>
          <w:left w:w="28" w:type="dxa"/>
          <w:bottom w:w="28" w:type="dxa"/>
          <w:right w:w="28" w:type="dxa"/>
        </w:tblCellMar>
      </w:tblPr>
      <w:tblGrid>
        <w:gridCol w:w="266"/>
        <w:gridCol w:w="234"/>
        <w:gridCol w:w="235"/>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Alexion</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3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3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3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Incyte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3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3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3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Vir Bio</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Zenas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w:t>
            </w:r>
            <w:r>
              <w:rPr>
                <w:color w:val="000000"/>
              </w:rPr>
              <w:t xml:space="preserve"> </w:t>
            </w:r>
            <w:r>
              <w:rPr>
                <w:rFonts w:ascii="Times New Roman;serif" w:hAnsi="Times New Roman;serif"/>
                <w:b w:val="false"/>
                <w:color w:val="000000"/>
                <w:sz w:val="12"/>
              </w:rPr>
              <w:t>(2)</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Total </w:t>
            </w:r>
            <w:r>
              <w:rPr>
                <w:rFonts w:ascii="Times New Roman;serif" w:hAnsi="Times New Roman;serif"/>
                <w:b w:val="false"/>
                <w:color w:val="000000"/>
                <w:sz w:val="12"/>
              </w:rPr>
              <w:t>(1)</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51,221 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43,608 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55,737 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76,340 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i/>
          <w:color w:val="000000"/>
          <w:sz w:val="16"/>
        </w:rPr>
      </w:pPr>
      <w:r>
        <w:rPr>
          <w:rFonts w:ascii="Times New Roman;serif" w:hAnsi="Times New Roman;serif"/>
          <w:b w:val="false"/>
          <w:i/>
          <w:color w:val="000000"/>
          <w:sz w:val="16"/>
        </w:rPr>
        <w:t>(1) As of June 30, 2026, there was no deferred revenue related to the agreements the Company entered into with the parties listed above.</w:t>
      </w:r>
    </w:p>
    <w:p>
      <w:pPr>
        <w:pStyle w:val="TextBody"/>
        <w:bidi w:val="0"/>
        <w:spacing w:lineRule="auto" w:line="288" w:before="60" w:after="283"/>
        <w:jc w:val="both"/>
        <w:rPr>
          <w:rFonts w:ascii="Times New Roman;serif" w:hAnsi="Times New Roman;serif"/>
          <w:b w:val="false"/>
          <w:i/>
          <w:color w:val="000000"/>
          <w:sz w:val="16"/>
        </w:rPr>
      </w:pPr>
      <w:r>
        <w:rPr>
          <w:rFonts w:ascii="Times New Roman;serif" w:hAnsi="Times New Roman;serif"/>
          <w:b w:val="false"/>
          <w:i/>
          <w:color w:val="000000"/>
          <w:sz w:val="16"/>
        </w:rPr>
        <w:t>(2) On February 26, 2026, the Company entered into a Fourth Amendment to its License Agreement with INmune Bio, Inc. (“INmune”), under which INmune agreed to pay a one-time, non-refundable, non-creditable fee of $0.1 million for an extension of its diligence obligations. The Company received the fee in the first quarter of 2026.</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disaggregation of revenue recognized during the periods indicated:</w:t>
      </w:r>
    </w:p>
    <w:tbl>
      <w:tblPr>
        <w:tblW w:w="5656" w:type="dxa"/>
        <w:jc w:val="left"/>
        <w:tblInd w:w="0" w:type="dxa"/>
        <w:tblLayout w:type="fixed"/>
        <w:tblCellMar>
          <w:top w:w="28" w:type="dxa"/>
          <w:left w:w="28" w:type="dxa"/>
          <w:bottom w:w="28" w:type="dxa"/>
          <w:right w:w="28" w:type="dxa"/>
        </w:tblCellMar>
      </w:tblPr>
      <w:tblGrid>
        <w:gridCol w:w="298"/>
        <w:gridCol w:w="262"/>
        <w:gridCol w:w="266"/>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License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Milestone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Royalties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51,221 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43,608 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55,737 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76,340 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balance of receivables and contract liabilities related to the Company’s collaboration and license agreements:</w:t>
      </w:r>
    </w:p>
    <w:tbl>
      <w:tblPr>
        <w:tblW w:w="5724" w:type="dxa"/>
        <w:jc w:val="left"/>
        <w:tblInd w:w="0" w:type="dxa"/>
        <w:tblLayout w:type="fixed"/>
        <w:tblCellMar>
          <w:top w:w="28" w:type="dxa"/>
          <w:left w:w="28" w:type="dxa"/>
          <w:bottom w:w="28" w:type="dxa"/>
          <w:right w:w="28" w:type="dxa"/>
        </w:tblCellMar>
      </w:tblPr>
      <w:tblGrid>
        <w:gridCol w:w="1250"/>
        <w:gridCol w:w="1098"/>
        <w:gridCol w:w="1102"/>
        <w:gridCol w:w="196"/>
        <w:gridCol w:w="646"/>
        <w:gridCol w:w="109"/>
        <w:gridCol w:w="109"/>
        <w:gridCol w:w="109"/>
        <w:gridCol w:w="109"/>
        <w:gridCol w:w="196"/>
        <w:gridCol w:w="646"/>
        <w:gridCol w:w="154"/>
      </w:tblGrid>
      <w:tr>
        <w:trPr/>
        <w:tc>
          <w:tcPr>
            <w:tcW w:w="1250"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Receivables included in accounts receivable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Contract liabilities included in deferred 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Times New Roman;serif" w:hAnsi="Times New Roman;serif"/>
          <w:b/>
          <w:i/>
          <w:color w:val="000000"/>
          <w:sz w:val="20"/>
        </w:rPr>
        <w:t>Alexion Pharmaceuticals, Inc. (</w:t>
      </w:r>
      <w:r>
        <w:rPr>
          <w:color w:val="000000"/>
        </w:rPr>
        <w:t>“</w:t>
      </w:r>
      <w:r>
        <w:rPr>
          <w:rFonts w:ascii="Times New Roman;serif" w:hAnsi="Times New Roman;serif"/>
          <w:b/>
          <w:i/>
          <w:color w:val="000000"/>
          <w:sz w:val="20"/>
        </w:rPr>
        <w:t>Alexion</w:t>
      </w:r>
      <w:r>
        <w:rPr>
          <w:color w:val="000000"/>
        </w:rPr>
        <w:t>”</w:t>
      </w:r>
      <w:r>
        <w:rPr>
          <w:rFonts w:ascii="Times New Roman;serif" w:hAnsi="Times New Roman;serif"/>
          <w:b/>
          <w:i/>
          <w:color w:val="000000"/>
          <w:sz w:val="20"/>
        </w:rPr>
        <w: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January 2013, the Company entered into an Option and License Agreement (the “Alexion Agreement”) with Alexion, which was acquired by AstraZeneca in 2021. Under the terms of the Alexion Agreement, the Company granted to Alexion an exclusive research license, with limited sublicensing rights, to make and use the Company’s Xtend technology to evaluate and advance compounds. Alexion exercised its rights to one target program, ALXN1210, which is now marketed as Ultomiris®.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Alexion Agreement, no further milestone payments are expected. The Company is entitled to receive royalties in the low single digits based on a percentage of net sales of Ultomiris sold by Alexion, its affiliates or its sublicensees. Alexion’s royalty obligations apply on a product-by-product and country-by-country basis and continue until the expiration of the last-to-expire valid licensed patent covering the applicable product in such country.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9, 2025, a patent term extension related to the Xtend™ Fc domain for antibodies targeting C5 was announced, extending the expected royalty term for Ultomiris® net sales into December 2028 in the United States. On March 4, 2026, Alexion informed the Company that it had taken the position that it did not owe additional royalties for U.S. sales of Ultomiris and did not intend to make future payments for sales in the U.S. under the parties’ agreement. The Company disputed this position and, subsequent to June 30, 2026, entered into a settlement agreement with Alexion. See Note 13 for additional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609bb953f26a4cd58095f8c6d091a7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first quarter of 2026, the Company evaluated the effect of Alexion’s notice, including the variable consideration constraint and the sales</w:t>
        <w:noBreakHyphen/>
        <w:t xml:space="preserve"> and usage</w:t>
        <w:noBreakHyphen/>
        <w:t>based royalty guidance applicable to licenses of intellectual property. The Company concluded that royalties on disputed U.S. sales should be constrained to zero until the uncertainty was resolved. Accordingly, the Company recorded a reduction of $6.6 million to royalty revenue and a corresponding reduction to the related receivable in the quarter ended March 31, 2026. There was no cash impact from this entry during the quarter ended March 31, 2026. Recognition of undisputed ex</w:t>
        <w:noBreakHyphen/>
        <w:t>U.S. royalties was unaffected and continues in accordance with Accounting Standards Codification (“ASC”) Topic 606’s sales</w:t>
        <w:noBreakHyphen/>
        <w:t xml:space="preserve"> and usage</w:t>
        <w:noBreakHyphen/>
        <w:t xml:space="preserve">based royalty guidance.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July 29, 2026, the Company entered into a settlement agreement with Alexion, which resolved the uncertainty over the variable consideration earned related to U.S. Ultomiris royalties. As a result, the Company recognized $27.6 million of royalty revenue during the three and six months ended June 30, 2026, related to the Company’s royalty rights for U.S. Ultomiris sales from the period of dispute through June 30, 2026. The remaining $77.4 million of settlement consideration relates to royalty rights for periods subsequent to June 30, 2026 and will be recognized in the third quarter of 2026.</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November 3, 2023, the Company entered into a royalty sale agreement (the “Ultomiris Royalty Sale Agreement”) with OCM Life Sciences Portfolio LP (“OMERS”), under which OMERS acquired the rights to certain royalties associated with the existing license relating to Ultomiris.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Alexion Agreement, the Company recognized royalty revenue of $37.3 million and $16.8 million during the three months ended June 30, 2026 and 2025, respectively, and $38.8 million and $32.3 million during the six months ended June 30, 2026 and 2025, respectively. As of June 30, 2026, the Company recorded $37.8 million in accounts receivable based on estimated royalties due under the arrangement. $12.6 million of this receivable will be paid directly to OMERS. See Note 6.</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Incyte Corporation (“Incyte”)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June 2010, the Company entered into a Collaboration and License Agreement (the “MorphoSys Agreement”) with MorphoSys AG (“MorphoSys”). Under the MorphoSys Agreement, the Company granted MorphoSys an exclusive worldwide license to its patents and know-how to research, develop and commercialize the XmAb5574 product candidate (subsequently renamed MOR208 and tafasitamab) with the right to sublicense under certain conditions. In February 2024, Incyte assumed all of MorphoSys’ right, title and interest in the MorphoSys Agreement and acquired exclusive global development and commercialization rights to tafasitamab. If certain developmental, regulatory and sales milestones are achieved, the Company is eligible to receive future milestone payments and royalties from Incyte.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In February 2025, the United States Food and Drug Administration (“FDA”) accepted Incyte’s submission of a supplemental biologics license application</w:t>
      </w:r>
      <w:r>
        <w:rPr>
          <w:color w:val="000000"/>
        </w:rPr>
        <w:t xml:space="preserve"> </w:t>
      </w:r>
      <w:r>
        <w:rPr>
          <w:rFonts w:ascii="Times New Roman;serif" w:hAnsi="Times New Roman;serif"/>
          <w:b w:val="false"/>
          <w:color w:val="000000"/>
          <w:sz w:val="20"/>
        </w:rPr>
        <w:t>(“BLA”), triggering a $12.5 million milestone payment to the Company, and approved the application in June 2025, triggering an additional $25.0 million milestone payment to the Company. Both milestone payments were received by the Company in 2025. In addition, Incyte dosed two patients in a Phase 2 study on December 29, 2025, one patient with immune thrombocytopenia and one patient with autoimmune hemolytic anemia, triggering a $4.0 million milestone payment to the Company, which was recognized as revenue in 2025 and collected in January 2026.</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MorphoSys Agreement, the Company is eligible to receive up to $195.0 million in developmental, regulatory and sales milestones, as well as royalties on net sales, subject to the terms and conditions of the agreement.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3, 2023, the Company entered into a royalty sale agreement (the “Monjuvi Royalty Sale Agreement”) with OMERS, under which OMERS acquired the right to receive up to $29.3 million of royalties earned after July 1, 2023 related to sales of Monjuvi/Minjuvi under the Company’s existing license agreement with Incyte. Upon OMERS receiving cumulative royalties of $29.3 million, all subsequent royalties revert to the Company. The $41.5 million of milestone payments the Company recognized in 2025 is not subject to the Monjuvi Royalty Sale Agreement.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second quarter of 2026, cumulative royalties payable to OMERS reached the $29.3 million cumulative royalty cap under the Monjuvi Royalty Sale Agreement. Under the MorphoSys Agreement, the Company recognized royalty revenue of $3.9 million and $6.8 million during the three and six months ended June 30, 2026, respectively, including $0.8 million of royalties payable directly to the Company after the cumulative royalty cap was reached. This compares to non-cash royalty revenue of $1.8 million and $4.5 million during the three and six months ended June 30, 2025, respectively.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recorded $4.4 million in accounts receivable based on estimated royalties due under the Monjuvi Royalty Sale Agreement. Of this amount, $3.6 million is payable to OMERS for royalties earned prior to reaching the cumulative royalty cap. All royalties earned after the cumulative royalty cap are retained by the Company. See Note 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609bb953f26a4cd58095f8c6d091a7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pPr>
      <w:r>
        <w:rPr>
          <w:rFonts w:ascii="Times New Roman;serif" w:hAnsi="Times New Roman;serif"/>
          <w:b/>
          <w:i/>
          <w:color w:val="000000"/>
          <w:sz w:val="20"/>
        </w:rPr>
        <w:t>Vir Biotechnology, Inc. (</w:t>
      </w:r>
      <w:r>
        <w:rPr>
          <w:color w:val="000000"/>
        </w:rPr>
        <w:t>“</w:t>
      </w:r>
      <w:r>
        <w:rPr>
          <w:rFonts w:ascii="Times New Roman;serif" w:hAnsi="Times New Roman;serif"/>
          <w:b/>
          <w:i/>
          <w:color w:val="000000"/>
          <w:sz w:val="20"/>
        </w:rPr>
        <w:t>Vir Bio</w:t>
      </w:r>
      <w:r>
        <w:rPr>
          <w:color w:val="000000"/>
        </w:rPr>
        <w:t>”</w:t>
      </w:r>
      <w:r>
        <w:rPr>
          <w:rFonts w:ascii="Times New Roman;serif" w:hAnsi="Times New Roman;serif"/>
          <w:b/>
          <w:i/>
          <w:color w:val="000000"/>
          <w:sz w:val="20"/>
        </w:rPr>
        <w: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2019, the Company entered into a Patent License Agreement (the “Vir Bio Agreement”) with Vir Bio, granting a non-exclusive license to its Xtend technology for up to two targets, including tobevibart. In March 2025, Vir Bio initiated a Phase 3 study for tobevibart, triggering a $2.0 million milestone payment to the Company, which was paid in the second quarter of 2025.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The Company recognized nominal amounts of royalty revenue for the three and six months ended June 30, 2026 and 2025.</w:t>
      </w:r>
      <w:r>
        <w:rPr>
          <w:color w:val="000000"/>
        </w:rPr>
        <w:t xml:space="preserve"> </w:t>
      </w:r>
      <w:r>
        <w:rPr>
          <w:rFonts w:ascii="Times New Roman;serif" w:hAnsi="Times New Roman;serif"/>
          <w:b w:val="false"/>
          <w:color w:val="000000"/>
          <w:sz w:val="20"/>
        </w:rPr>
        <w:t>Under the Vir Bio Agreement, the Company is eligible to receive up to $65.0 million in developmental, regulatory and sales milestones, as well as royalties on net sales, subject to the terms and conditions of the agreement.</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Zenas BioPharma, Inc. (“Zenas”)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November 2020, the Company entered into a License Agreement (the “Zenas Agreement”) with Zenas, pursuant to which the Company granted Zenas exclusive worldwide rights to develop and commercialize three preclinical-stage Fc-engineered drug candidates.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2021, the Company entered into a second license agreement (the “Second Zenas Agreement”), pursuant to which the Company granted Zenas exclusive worldwide rights to develop and commercialize obexelimab (XmAb5871). The Company satisfied its performance obligations under the Zenas agreements in 2021.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May 2026, Zenas submitted a BLA to the FDA for obexelimab in IgG4-RD, which triggered a $10.0 million milestone payment to the Company under the Zenas Agreement that the Company received during the second quarter of 2026. On July 30, 2026, Zenas’s partner submitted a marketing authorization application for obexelimab to the Pharmaceuticals and Medical Devices Agency (PMDA) in Japan, resulting in a $2.5 million milestone that will be recognized in the third quarter of 2026.</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two Zenas agreements, the Company received equity-based consideration and is eligible to receive up to $450.0 million in regulatory and sales milestones, as well as royalties on net sales of approved products in the mid-single-digit to mid-teen percentage range.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3. Marketable Debt and Equity Securities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Marketable Debt Securities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marketable debt securities consisted of the following:</w:t>
      </w:r>
    </w:p>
    <w:tbl>
      <w:tblPr>
        <w:tblW w:w="6894" w:type="dxa"/>
        <w:jc w:val="left"/>
        <w:tblInd w:w="0" w:type="dxa"/>
        <w:tblLayout w:type="fixed"/>
        <w:tblCellMar>
          <w:top w:w="28" w:type="dxa"/>
          <w:left w:w="28" w:type="dxa"/>
          <w:bottom w:w="28" w:type="dxa"/>
          <w:right w:w="28" w:type="dxa"/>
        </w:tblCellMar>
      </w:tblPr>
      <w:tblGrid>
        <w:gridCol w:w="710"/>
        <w:gridCol w:w="625"/>
        <w:gridCol w:w="629"/>
        <w:gridCol w:w="196"/>
        <w:gridCol w:w="736"/>
        <w:gridCol w:w="109"/>
        <w:gridCol w:w="109"/>
        <w:gridCol w:w="109"/>
        <w:gridCol w:w="109"/>
        <w:gridCol w:w="239"/>
        <w:gridCol w:w="513"/>
        <w:gridCol w:w="134"/>
        <w:gridCol w:w="109"/>
        <w:gridCol w:w="109"/>
        <w:gridCol w:w="109"/>
        <w:gridCol w:w="196"/>
        <w:gridCol w:w="631"/>
        <w:gridCol w:w="109"/>
        <w:gridCol w:w="109"/>
        <w:gridCol w:w="109"/>
        <w:gridCol w:w="109"/>
        <w:gridCol w:w="196"/>
        <w:gridCol w:w="736"/>
        <w:gridCol w:w="154"/>
      </w:tblGrid>
      <w:tr>
        <w:trPr/>
        <w:tc>
          <w:tcPr>
            <w:tcW w:w="71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Money market funds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Government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441,687 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469,459 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468,597 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Reported as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equivalents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Marketable debt securities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441,687 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468,597 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609bb953f26a4cd58095f8c6d091a7e3_7">
        <w:r>
          <w:rPr>
            <w:rStyle w:val="InternetLink"/>
            <w:rFonts w:ascii="Times New Roman;serif" w:hAnsi="Times New Roman;serif"/>
            <w:b w:val="false"/>
            <w:color w:val="0000FF"/>
            <w:sz w:val="20"/>
            <w:u w:val="single"/>
          </w:rPr>
          <w:t>Table of Contents</w:t>
        </w:r>
      </w:hyperlink>
    </w:p>
    <w:tbl>
      <w:tblPr>
        <w:tblW w:w="6844" w:type="dxa"/>
        <w:jc w:val="left"/>
        <w:tblInd w:w="0" w:type="dxa"/>
        <w:tblLayout w:type="fixed"/>
        <w:tblCellMar>
          <w:top w:w="28" w:type="dxa"/>
          <w:left w:w="28" w:type="dxa"/>
          <w:bottom w:w="28" w:type="dxa"/>
          <w:right w:w="28" w:type="dxa"/>
        </w:tblCellMar>
      </w:tblPr>
      <w:tblGrid>
        <w:gridCol w:w="710"/>
        <w:gridCol w:w="625"/>
        <w:gridCol w:w="629"/>
        <w:gridCol w:w="196"/>
        <w:gridCol w:w="736"/>
        <w:gridCol w:w="109"/>
        <w:gridCol w:w="109"/>
        <w:gridCol w:w="109"/>
        <w:gridCol w:w="109"/>
        <w:gridCol w:w="201"/>
        <w:gridCol w:w="572"/>
        <w:gridCol w:w="113"/>
        <w:gridCol w:w="109"/>
        <w:gridCol w:w="109"/>
        <w:gridCol w:w="109"/>
        <w:gridCol w:w="244"/>
        <w:gridCol w:w="505"/>
        <w:gridCol w:w="137"/>
        <w:gridCol w:w="109"/>
        <w:gridCol w:w="109"/>
        <w:gridCol w:w="109"/>
        <w:gridCol w:w="196"/>
        <w:gridCol w:w="736"/>
        <w:gridCol w:w="154"/>
      </w:tblGrid>
      <w:tr>
        <w:trPr/>
        <w:tc>
          <w:tcPr>
            <w:tcW w:w="71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Money market funds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Corporate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Government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544,792 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590,739 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1,586 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592,325 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Reported as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equivalents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Marketable debt securities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556,760 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592,325 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contract maturities of the Company’s marketable debt securities as of June 30, 2026: </w:t>
      </w:r>
    </w:p>
    <w:tbl>
      <w:tblPr>
        <w:tblW w:w="4419" w:type="dxa"/>
        <w:jc w:val="left"/>
        <w:tblInd w:w="0" w:type="dxa"/>
        <w:tblLayout w:type="fixed"/>
        <w:tblCellMar>
          <w:top w:w="28" w:type="dxa"/>
          <w:left w:w="28" w:type="dxa"/>
          <w:bottom w:w="28" w:type="dxa"/>
          <w:right w:w="28" w:type="dxa"/>
        </w:tblCellMar>
      </w:tblPr>
      <w:tblGrid>
        <w:gridCol w:w="710"/>
        <w:gridCol w:w="626"/>
        <w:gridCol w:w="629"/>
        <w:gridCol w:w="196"/>
        <w:gridCol w:w="736"/>
        <w:gridCol w:w="109"/>
        <w:gridCol w:w="109"/>
        <w:gridCol w:w="109"/>
        <w:gridCol w:w="109"/>
        <w:gridCol w:w="196"/>
        <w:gridCol w:w="736"/>
        <w:gridCol w:w="154"/>
      </w:tblGrid>
      <w:tr>
        <w:trPr/>
        <w:tc>
          <w:tcPr>
            <w:tcW w:w="71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Estimated</w:t>
              <w:br/>
              <w:t>Fair Value</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Mature in one year or less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333,152 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Mature within two years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108,535 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442,549 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441,687 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did not record any allowance for credit losses on its marketable debt securities during the three and six months ended June 30, 2026 and 2025.</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Marketable Equity Securities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marketable equity securities consisted of the following:</w:t>
      </w:r>
    </w:p>
    <w:tbl>
      <w:tblPr>
        <w:tblW w:w="4737" w:type="dxa"/>
        <w:jc w:val="left"/>
        <w:tblInd w:w="0" w:type="dxa"/>
        <w:tblLayout w:type="fixed"/>
        <w:tblCellMar>
          <w:top w:w="28" w:type="dxa"/>
          <w:left w:w="28" w:type="dxa"/>
          <w:bottom w:w="28" w:type="dxa"/>
          <w:right w:w="28" w:type="dxa"/>
        </w:tblCellMar>
      </w:tblPr>
      <w:tblGrid>
        <w:gridCol w:w="630"/>
        <w:gridCol w:w="554"/>
        <w:gridCol w:w="556"/>
        <w:gridCol w:w="232"/>
        <w:gridCol w:w="764"/>
        <w:gridCol w:w="129"/>
        <w:gridCol w:w="109"/>
        <w:gridCol w:w="109"/>
        <w:gridCol w:w="109"/>
        <w:gridCol w:w="279"/>
        <w:gridCol w:w="1047"/>
        <w:gridCol w:w="219"/>
      </w:tblGrid>
      <w:tr>
        <w:trPr/>
        <w:tc>
          <w:tcPr>
            <w:tcW w:w="63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74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174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Zenas BioPharma, Inc.</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78,637 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112,502 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78,637 </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112,502 </w:t>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pPr>
      <w:r>
        <w:rPr>
          <w:rFonts w:ascii="Times New Roman;serif" w:hAnsi="Times New Roman;serif"/>
          <w:b w:val="false"/>
          <w:color w:val="000000"/>
          <w:sz w:val="20"/>
        </w:rPr>
        <w:t>Net realized and unrealized gains (losses) on marketable equity securities, recognized in other income (expense) in the consolidated statements of operations</w:t>
      </w:r>
      <w:r>
        <w:rPr>
          <w:color w:val="000000"/>
        </w:rPr>
        <w:t xml:space="preserve"> </w:t>
      </w:r>
      <w:r>
        <w:rPr>
          <w:rFonts w:ascii="Times New Roman;serif" w:hAnsi="Times New Roman;serif"/>
          <w:b w:val="false"/>
          <w:color w:val="000000"/>
          <w:sz w:val="20"/>
        </w:rPr>
        <w:t>and comprehensive loss, were as follows:</w:t>
      </w:r>
    </w:p>
    <w:tbl>
      <w:tblPr>
        <w:tblW w:w="9630" w:type="dxa"/>
        <w:jc w:val="left"/>
        <w:tblInd w:w="0" w:type="dxa"/>
        <w:tblLayout w:type="fixed"/>
        <w:tblCellMar>
          <w:top w:w="28" w:type="dxa"/>
          <w:left w:w="28" w:type="dxa"/>
          <w:bottom w:w="28" w:type="dxa"/>
          <w:right w:w="28" w:type="dxa"/>
        </w:tblCellMar>
      </w:tblPr>
      <w:tblGrid>
        <w:gridCol w:w="1777"/>
        <w:gridCol w:w="1561"/>
        <w:gridCol w:w="1567"/>
        <w:gridCol w:w="196"/>
        <w:gridCol w:w="646"/>
        <w:gridCol w:w="109"/>
        <w:gridCol w:w="109"/>
        <w:gridCol w:w="109"/>
        <w:gridCol w:w="109"/>
        <w:gridCol w:w="196"/>
        <w:gridCol w:w="556"/>
        <w:gridCol w:w="109"/>
        <w:gridCol w:w="109"/>
        <w:gridCol w:w="109"/>
        <w:gridCol w:w="109"/>
        <w:gridCol w:w="196"/>
        <w:gridCol w:w="721"/>
        <w:gridCol w:w="109"/>
        <w:gridCol w:w="109"/>
        <w:gridCol w:w="109"/>
        <w:gridCol w:w="109"/>
        <w:gridCol w:w="196"/>
        <w:gridCol w:w="556"/>
        <w:gridCol w:w="154"/>
      </w:tblGrid>
      <w:tr>
        <w:trPr/>
        <w:tc>
          <w:tcPr>
            <w:tcW w:w="1777"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gains (losses) recorded on marketable equity securities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(losses) gains recorded on sale of marketable equity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gains (losses) on securities held at the reporting date</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18,064 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(33,865)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changes in unrealized gains (losses) for the three and six months ended June 30, 2026 were primarily attributable to the changes in fair value of the Company’s equity investment in Zenas BioPharma,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color w:val="000000"/>
          <w:sz w:val="20"/>
        </w:rPr>
        <w:t>4.</w:t>
      </w:r>
      <w:r>
        <w:rPr>
          <w:color w:val="000000"/>
        </w:rPr>
        <w:t xml:space="preserve"> </w:t>
      </w:r>
      <w:r>
        <w:rPr>
          <w:rFonts w:ascii="Times New Roman;serif" w:hAnsi="Times New Roman;serif"/>
          <w:b/>
          <w:color w:val="000000"/>
          <w:sz w:val="20"/>
        </w:rPr>
        <w:t>Fair Value Measurements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employs a fair value hierarchy that prioritizes the inputs to valuation techniques used to measure fair value. The Company’s valuation techniques and inputs used to measure fair value and the definition of the three levels (Level 1, Level 2, and Level 3) of the fair value hierarchy are disclosed in Note 1, Organization and Summary of Significant Accounting Policies of the Notes to Consolidated Financial Statements of Part II, “Item 8. Consolidated Financial Statements and Supplementary Data” of its Annual Report on Form 10-K for the year ended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609bb953f26a4cd58095f8c6d091a7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uses prices and inputs that are current as of the measurement date, including during periods of market disruption. In periods of market disruption, the ability to observe prices and inputs may be reduced for many instruments. This condition could cause an instrument to be reclassified from Level 1 to Level 2, or from Level 2 to Level 3. The Company recognizes transfers between levels at either the actual date of the event or a change in circumstances that caused the transfer. As of June 30, 2026 and December 31, 2025, the Company did not have any financial assets or financial liabilities based on Level 3 measurements.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about the Company’s assets and liabilities measured at fair value on a recurring basis, and indicates the fair value hierarchy of the valuation techniques utilized by the Company:</w:t>
      </w:r>
    </w:p>
    <w:tbl>
      <w:tblPr>
        <w:tblW w:w="6960" w:type="dxa"/>
        <w:jc w:val="left"/>
        <w:tblInd w:w="0" w:type="dxa"/>
        <w:tblLayout w:type="fixed"/>
        <w:tblCellMar>
          <w:top w:w="28" w:type="dxa"/>
          <w:left w:w="28" w:type="dxa"/>
          <w:bottom w:w="28" w:type="dxa"/>
          <w:right w:w="28" w:type="dxa"/>
        </w:tblCellMar>
      </w:tblPr>
      <w:tblGrid>
        <w:gridCol w:w="762"/>
        <w:gridCol w:w="666"/>
        <w:gridCol w:w="672"/>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406"/>
        <w:gridCol w:w="154"/>
      </w:tblGrid>
      <w:tr>
        <w:trPr/>
        <w:tc>
          <w:tcPr>
            <w:tcW w:w="762"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equivalents: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Marketable debt securities: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Government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Marketable equity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financial assets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547,234 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105,547 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441,687 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960" w:type="dxa"/>
        <w:jc w:val="left"/>
        <w:tblInd w:w="0" w:type="dxa"/>
        <w:tblLayout w:type="fixed"/>
        <w:tblCellMar>
          <w:top w:w="28" w:type="dxa"/>
          <w:left w:w="28" w:type="dxa"/>
          <w:bottom w:w="28" w:type="dxa"/>
          <w:right w:w="28" w:type="dxa"/>
        </w:tblCellMar>
      </w:tblPr>
      <w:tblGrid>
        <w:gridCol w:w="762"/>
        <w:gridCol w:w="666"/>
        <w:gridCol w:w="672"/>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406"/>
        <w:gridCol w:w="154"/>
      </w:tblGrid>
      <w:tr>
        <w:trPr/>
        <w:tc>
          <w:tcPr>
            <w:tcW w:w="762"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equivalents: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Marketable debt securities: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Corporate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Government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Marketable equity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financial assets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704,827 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148,067 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556,760 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5. Balance Sheet Accounts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Property and Equipment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major classes of property and equipment:</w:t>
      </w:r>
    </w:p>
    <w:tbl>
      <w:tblPr>
        <w:tblW w:w="5942" w:type="dxa"/>
        <w:jc w:val="left"/>
        <w:tblInd w:w="0" w:type="dxa"/>
        <w:tblLayout w:type="fixed"/>
        <w:tblCellMar>
          <w:top w:w="28" w:type="dxa"/>
          <w:left w:w="28" w:type="dxa"/>
          <w:bottom w:w="28" w:type="dxa"/>
          <w:right w:w="28" w:type="dxa"/>
        </w:tblCellMar>
      </w:tblPr>
      <w:tblGrid>
        <w:gridCol w:w="1277"/>
        <w:gridCol w:w="1121"/>
        <w:gridCol w:w="1126"/>
        <w:gridCol w:w="196"/>
        <w:gridCol w:w="646"/>
        <w:gridCol w:w="109"/>
        <w:gridCol w:w="109"/>
        <w:gridCol w:w="109"/>
        <w:gridCol w:w="109"/>
        <w:gridCol w:w="224"/>
        <w:gridCol w:w="740"/>
        <w:gridCol w:w="176"/>
      </w:tblGrid>
      <w:tr>
        <w:trPr/>
        <w:tc>
          <w:tcPr>
            <w:tcW w:w="1277"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Lab equipment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43,749 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Computer, software and office equipment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Furniture and fixtures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Leasehold improvements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52,270 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in progress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gross carrying amount</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105,806 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104,780 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(51,472)</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50,013 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53,308 </w:t>
            </w:r>
          </w:p>
        </w:tc>
        <w:tc>
          <w:tcPr>
            <w:tcW w:w="1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 for property and equipment for the three months ended June 30, 2026 and 2025 was $2.3 million and $2.4 million, respectively. Depreciation and amortization expense for property and equipment for the six months ended June 30, 2026 and 2025 was $4.6 million and $4.8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609bb953f26a4cd58095f8c6d091a7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Patents, Licenses, and Other Intangible Assets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patents, licenses, and other intangible assets:</w:t>
      </w:r>
    </w:p>
    <w:tbl>
      <w:tblPr>
        <w:tblW w:w="6333" w:type="dxa"/>
        <w:jc w:val="left"/>
        <w:tblInd w:w="0" w:type="dxa"/>
        <w:tblLayout w:type="fixed"/>
        <w:tblCellMar>
          <w:top w:w="28" w:type="dxa"/>
          <w:left w:w="28" w:type="dxa"/>
          <w:bottom w:w="28" w:type="dxa"/>
          <w:right w:w="28" w:type="dxa"/>
        </w:tblCellMar>
      </w:tblPr>
      <w:tblGrid>
        <w:gridCol w:w="1415"/>
        <w:gridCol w:w="1246"/>
        <w:gridCol w:w="1254"/>
        <w:gridCol w:w="196"/>
        <w:gridCol w:w="646"/>
        <w:gridCol w:w="109"/>
        <w:gridCol w:w="109"/>
        <w:gridCol w:w="109"/>
        <w:gridCol w:w="109"/>
        <w:gridCol w:w="224"/>
        <w:gridCol w:w="740"/>
        <w:gridCol w:w="176"/>
      </w:tblGrid>
      <w:tr>
        <w:trPr/>
        <w:tc>
          <w:tcPr>
            <w:tcW w:w="1415"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Patents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10,784 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Licenses and other intangible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finite-lived assets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11,756 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Indefinite-lived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gross carrying amount</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15,903 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patents, licenses, and other intangible assets, net</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8,385 </w:t>
            </w:r>
          </w:p>
        </w:tc>
        <w:tc>
          <w:tcPr>
            <w:tcW w:w="1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Patents, licenses and other intangible assets with definite useful lives are amortized on a straight-line basis over their useful lives. Amortization expense was $0.2 million and $0.3 million for the three months ended June 30, 2026 and 2025, respectively. Amortization expense was $0.4 million and $0.5 million for the six months ended June 30, 2026 and 2025, respectively. None of these assets with definite useful lives are anticipated to have a residual value.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Patents, licenses and other intangible assets are reviewed annually for impairment or more frequently if events or changes in circumstances indicate that the carrying amount may not be recoverable. During the three and six months ended June 30, 2026, the Company recorded asset impairment charges of $0.8 million related to the discontinuation of development programs, as management determined the associated intangible assets were no longer expected to provide future economic benefit. During the three and six months ended June 30, 2025, the Company recorded asset impairment charges of $1.9 million and $6.7 million, respectively, following its decision to pause development of certain programs and prioritize other pipeline assets, resulting in a write-down of the associated patents to their estimated fair value.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estimated future amortization expense related to definite-lived assets as of June 30, 2026:</w:t>
      </w:r>
    </w:p>
    <w:tbl>
      <w:tblPr>
        <w:tblW w:w="3793" w:type="dxa"/>
        <w:jc w:val="left"/>
        <w:tblInd w:w="0" w:type="dxa"/>
        <w:tblLayout w:type="fixed"/>
        <w:tblCellMar>
          <w:top w:w="28" w:type="dxa"/>
          <w:left w:w="28" w:type="dxa"/>
          <w:bottom w:w="28" w:type="dxa"/>
          <w:right w:w="28" w:type="dxa"/>
        </w:tblCellMar>
      </w:tblPr>
      <w:tblGrid>
        <w:gridCol w:w="737"/>
        <w:gridCol w:w="650"/>
        <w:gridCol w:w="652"/>
        <w:gridCol w:w="378"/>
        <w:gridCol w:w="1077"/>
        <w:gridCol w:w="299"/>
      </w:tblGrid>
      <w:tr>
        <w:trPr/>
        <w:tc>
          <w:tcPr>
            <w:tcW w:w="73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Amortization Expense</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Year ending December 31,</w:t>
            </w:r>
          </w:p>
        </w:tc>
        <w:tc>
          <w:tcPr>
            <w:tcW w:w="17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 the remainder of 2026</w:t>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14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667 </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14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328 </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2031 and thereafter</w:t>
            </w:r>
          </w:p>
        </w:tc>
        <w:tc>
          <w:tcPr>
            <w:tcW w:w="14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1,492 </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3,467 </w:t>
            </w:r>
          </w:p>
        </w:tc>
        <w:tc>
          <w:tcPr>
            <w:tcW w:w="2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Accrued Expense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Accrued expenses consist of the following:</w:t>
      </w:r>
    </w:p>
    <w:tbl>
      <w:tblPr>
        <w:tblW w:w="4578" w:type="dxa"/>
        <w:jc w:val="left"/>
        <w:tblInd w:w="0" w:type="dxa"/>
        <w:tblLayout w:type="fixed"/>
        <w:tblCellMar>
          <w:top w:w="28" w:type="dxa"/>
          <w:left w:w="28" w:type="dxa"/>
          <w:bottom w:w="28" w:type="dxa"/>
          <w:right w:w="28" w:type="dxa"/>
        </w:tblCellMar>
      </w:tblPr>
      <w:tblGrid>
        <w:gridCol w:w="781"/>
        <w:gridCol w:w="688"/>
        <w:gridCol w:w="691"/>
        <w:gridCol w:w="196"/>
        <w:gridCol w:w="646"/>
        <w:gridCol w:w="109"/>
        <w:gridCol w:w="109"/>
        <w:gridCol w:w="109"/>
        <w:gridCol w:w="109"/>
        <w:gridCol w:w="224"/>
        <w:gridCol w:w="740"/>
        <w:gridCol w:w="176"/>
      </w:tblGrid>
      <w:tr>
        <w:trPr/>
        <w:tc>
          <w:tcPr>
            <w:tcW w:w="7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R&amp;D expenses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payroll and benefits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20,209 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accrued expenses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36,446 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34,960 </w:t>
            </w:r>
          </w:p>
        </w:tc>
        <w:tc>
          <w:tcPr>
            <w:tcW w:w="1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609bb953f26a4cd58095f8c6d091a7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6. Liabilities Related to the Sales of Future Royalties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Ultomiris Royalty Sale Agreement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November 3, 2023, the Company and OMERS entered into the Ultomiris Royalty Sale Agreement. Pursuant to the Ultomiris Royalty Sale Agreement, OMERS acquired the rights to a portion of royalties and milestones earned after July 1, 2023 associated with the existing license relating to Ultomiris® (ravulizumab-cwvz) in exchange for an upfront payment of $192.5 million. Pursuant to the Ultomiris Royalty Sale Agreement and subject to the Company’s existing license with Alexion, OMERS acquired the right to receive: (i) 100% of royalties payable on past and future sales related to Ultomiris that occurred from July 1, 2023 through December 31, 2025; (ii) up to $35.0 million annually in royalties on future sales related to Ultomiris that occur from January 1, 2026 through December 31, 2028, with any royalties in excess of $35.0 million reverting to the Company; (iii) up to $12.0 million annually in royalties on future sales related to Ultomiris that occur from and after January 1, 2029, with any royalties in excess of $12.0 million reverting to the Company; and (iv) $18.0 million of a certain future sales based milestone payment pursuant to the existing license with Alexion, which was paid in the fourth quarter of 2023.</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March 2026, Alexion notified the Company that it did not believe additional U.S. royalties are owed and did not intend to make future payments for U.S. sales. Subsequent to June 30, 2026, the Company entered into a settlement agreement with Alexion. See Note 2 and 13 for additional information.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 xml:space="preserve">Monjuvi Royalty Sale Agreement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3, 2023, the Company and OMERS entered into the Monjuvi Royalty Sale Agreement. Pursuant to the Monjuvi Royalty Sale Agreement, OMERS acquired the rights to a portion of royalties earned after July 1, 2023 associated with the existing license relating to Monjuvi®/Minjuvi® (tafasitamab-cxix) in exchange for an upfront payment of $22.5 million. Pursuant to the Monjuvi Royalty Sale Agreement and subject to the Company’s existing license with Incyte, OMERS acquired the right to receive up to $29.3 million in royalties earned after July 1, 2023 related to sales of Monjuvi/Minjuvi, with any royalties in excess of $29.3 million paid to OMERS reverting to the Company.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2026, cumulative royalties payable to OMERS reached the $29.3 million cumulative royalty cap under the Monjuvi Royalty Sale Agreement. Accordingly, $3.1 million of royalties earned during the three months ended June 30, 2026 were payable to OMERS and $0.8 million of royalties earned thereafter are retained by the Company.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evaluated the terms of both Ultomiris and Monjuvi Royalty Sale Agreements and concluded, in accordance with the relevant accounting guidance, that the Company accounted for both transactions as debt and the proceeds recorded as liabilities related to the sale of future royalties on its consolidated balance sheets.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records the obligations at their carrying value using the effective interest method. In order to amortize the liabilities related to the sale of future royalties, the Company utilizes the prospective method to estimate the future royalties to be paid by the Company to the counterparty over the life of the arrangement. Under the prospective method, a new effective interest rate is determined based on the revised estimate of remaining cash flows. The new rate is the discount rate that equates the present value of the revised estimate of remaining cash flows with the carrying amount of the debt, and it will be used to recognize non-cash interest expense for the remaining periods. The Company periodically assesses the amount and the timing of expected royalty payments using a combination of internal projections and forecasts from external sources. The estimates of future net product sales (and resulting royalty payments) are based on key assumptions such as future sales forecasts and other significant events. To the extent such payments are greater or less than the Company’s initial estimates or the timing of such payments is different than its original estimates, the Company will prospectively adjust the amortization of the royalty financing obligations and the effective interest rate. As of June 30, 2026, the estimated effective interest rates were 19.0% and 18.5% for Ultomiris and Monjuvi Royalty Sale Agreements,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609bb953f26a4cd58095f8c6d091a7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activities with respect to the liabilities related to the sales of future royalties:</w:t>
      </w:r>
    </w:p>
    <w:tbl>
      <w:tblPr>
        <w:tblW w:w="5787" w:type="dxa"/>
        <w:jc w:val="left"/>
        <w:tblInd w:w="0" w:type="dxa"/>
        <w:tblLayout w:type="fixed"/>
        <w:tblCellMar>
          <w:top w:w="28" w:type="dxa"/>
          <w:left w:w="28" w:type="dxa"/>
          <w:bottom w:w="28" w:type="dxa"/>
          <w:right w:w="28" w:type="dxa"/>
        </w:tblCellMar>
      </w:tblPr>
      <w:tblGrid>
        <w:gridCol w:w="1011"/>
        <w:gridCol w:w="887"/>
        <w:gridCol w:w="892"/>
        <w:gridCol w:w="212"/>
        <w:gridCol w:w="796"/>
        <w:gridCol w:w="117"/>
        <w:gridCol w:w="109"/>
        <w:gridCol w:w="109"/>
        <w:gridCol w:w="109"/>
        <w:gridCol w:w="279"/>
        <w:gridCol w:w="1047"/>
        <w:gridCol w:w="219"/>
      </w:tblGrid>
      <w:tr>
        <w:trPr/>
        <w:tc>
          <w:tcPr>
            <w:tcW w:w="101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Beginning balance </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119,749 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163,606 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Royalties paid to OMERS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(26,902)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(75,778)</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interest expense recognized</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31,921 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Ending balance </w:t>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104,895 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119,749 </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27,358 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43,267 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liabilities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77,537 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76,482 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104,895 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119,749 </w:t>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7. Commitments and Contingencies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Litigation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may be subject to claims and legal proceedings arising in the ordinary course of business. The Company evaluates each matter and assesses its potential financial exposure. If the potential loss from a legal proceeding is considered probable and the amount can be reasonably estimated, the Company records an accrual for the estimated loss. Because the outcome of legal proceedings is inherently uncertain, significant judgment is required in assessing the likelihood of a loss and whether the amount is reasonably estimable. The Company’s assessments and any recorded accruals are based on information available at the time of evaluation. As additional information becomes available, the Company re-evaluates its estimates and may adjust recorded liabilities accordingly.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August 5, 2024, Merus N.V. (“Merus”) filed a complaint in the District of Delaware alleging that the Company’s manufacture, use, offer for sale, sale and/or importation of common light chain antibodies and heterodimeric antibodies infringe certain claims of Merus patents. Merus asserted claims of U.S. Patent Nos. 9,944,695, 9,358,286 and 11,926,859. Merus sought a judgment of patent infringement, an order enjoining the Company from infringing those patents, a damages award (together with interest), a declaration of willful infringement, and a finding that this case is exceptional. On October 10, 2024, the Company filed a motion to dismiss the Merus complaint with prejudice under Rule 12(b)(6), in which the Company argued that all of the activities accused of infringement are covered by the 35 U.S.C.§ 271(e)(1) safe harbor. On September 30, 2025, the Court granted the motion to dismiss Merus’ complaint, but permitted Merus to file an amended complaint. On November 11, 2025, Merus filed a first amended complaint, and asserted claims of U.S. Patent Nos. 9,944,695, 9,358,286, 11,926,859, and 12,123,043. On December 16, 2025, the Company filed a motion to dismiss the first amended complaint on the same grounds previously asserted. The Court held a hearing on the motion to dismiss on February 17, 2026.</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February 11, 2025, the Company filed for inter partes review of Merus’ U.S. Patent Nos. 9,358,286 and 11,926,859 before the U.S. Patent and Trademark Office’s Patent and Trial Appeal Board seeking a finding that certain claims of those patents are unpatentable. On September 26, 2025, the U.S. Patent and Trademark Appeal Board granted institution of the inter partes review.</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and Merus resolved these disputes. On July 7, 2026, Merus filed a voluntary dismissal with prejudice of their complaint in the District of Delaware, and the case was terminated on July 8, 2026. On July 7, 2026, the Company and Merus also filed a Joint Motion to Terminate the inter partes reviews, which were granted on July 9, 2026.</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settlement, the Company received a $7.0 million cash payment from Merus in July 2026.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Commitments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is party to certain license agreements that obligate it to make future payments to third parties, which may include sublicense fees, royalties and milestone payments contingent upon the achievement of specified development and commercialization events. Because the occurrence, timing and amounts of these potential payments are not currently probable or reasonably estimable, they have not been recorded on the Company’s consolidated balance sheets as of June 30, 2026 and December 31, 2025.</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Company has entered into agreements with various third-party vendors for research, development and manufacturing services. These agreements generally provide for future payments contingent upon the vendors’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609bb953f26a4cd58095f8c6d091a7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delivery of goods or performance of services. Such commitments are not recorded until the related goods or services are received.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8. Stockholders’ Equity</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shares of common stock and preferred stock:</w:t>
      </w:r>
    </w:p>
    <w:tbl>
      <w:tblPr>
        <w:tblW w:w="7178" w:type="dxa"/>
        <w:jc w:val="left"/>
        <w:tblInd w:w="0" w:type="dxa"/>
        <w:tblLayout w:type="fixed"/>
        <w:tblCellMar>
          <w:top w:w="28" w:type="dxa"/>
          <w:left w:w="28" w:type="dxa"/>
          <w:bottom w:w="28" w:type="dxa"/>
          <w:right w:w="28" w:type="dxa"/>
        </w:tblCellMar>
      </w:tblPr>
      <w:tblGrid>
        <w:gridCol w:w="725"/>
        <w:gridCol w:w="640"/>
        <w:gridCol w:w="644"/>
        <w:gridCol w:w="289"/>
        <w:gridCol w:w="289"/>
        <w:gridCol w:w="291"/>
        <w:gridCol w:w="109"/>
        <w:gridCol w:w="109"/>
        <w:gridCol w:w="109"/>
        <w:gridCol w:w="525"/>
        <w:gridCol w:w="526"/>
        <w:gridCol w:w="326"/>
        <w:gridCol w:w="480"/>
        <w:gridCol w:w="481"/>
        <w:gridCol w:w="206"/>
        <w:gridCol w:w="480"/>
        <w:gridCol w:w="481"/>
        <w:gridCol w:w="468"/>
      </w:tblGrid>
      <w:tr>
        <w:trPr/>
        <w:tc>
          <w:tcPr>
            <w:tcW w:w="72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Shares</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Authorized</w:t>
            </w:r>
          </w:p>
        </w:tc>
        <w:tc>
          <w:tcPr>
            <w:tcW w:w="116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Issued</w:t>
            </w:r>
          </w:p>
        </w:tc>
        <w:tc>
          <w:tcPr>
            <w:tcW w:w="142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Outstanding</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3"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of June 30, 2026</w:t>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200,000,000 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74,328,804 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74,328,804 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w:t>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10,000,000 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of December 31, 2025</w:t>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200,000,000 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71,871,975 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71,871,975 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w:t>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10,000,000 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February 25, 2026, the Company filed an automatic universal shelf registration statement on Form S-3 (File No. 333-270030) as a well-known seasoned issuer as defined in Rule 405 under the Securities Act of 1933, as amended, which became effective upon filing (the “Shelf Registration Statement”). The Shelf Registration Statement allows the Company to offer an indeterminate amount of securities, including equity securities, debt securities, warrants, rights, units and depositary shares, from time to time as described therein. The specific terms of any offering under the Shelf Registration Statement will be established at the time of such offering. The Shelf Registration Statement will expire on February 25, 2029.</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February 27, 2023, the Company entered into a sales agreement (the “Sales Agreement”) with Leerink Partners LLC (formerly, SVB Securities LLC) (the “Agent”), pursuant to which the Company may offer and sell, from time to time through the Agent (the “ATM Offering”), shares of its common stock having an aggregate offering price of up to $200.0 million (the “ATM Shares”). Any ATM Shares offered and sold in the ATM Offering would be issued pursuant to a prospectus supplement, which the Company would have to file before it can sell any ATM Shares in the ATM Offering. As of June 30, 2026, no shares have been issued under the Sales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9. Leases</w:t>
      </w:r>
    </w:p>
    <w:p>
      <w:pPr>
        <w:pStyle w:val="TextBody"/>
        <w:bidi w:val="0"/>
        <w:spacing w:lineRule="auto" w:line="288" w:before="180" w:after="283"/>
        <w:ind w:left="0" w:right="0" w:firstLine="540"/>
        <w:jc w:val="both"/>
        <w:rPr/>
      </w:pPr>
      <w:r>
        <w:rPr>
          <w:rFonts w:ascii="Times New Roman;serif" w:hAnsi="Times New Roman;serif"/>
          <w:b/>
          <w:color w:val="000000"/>
          <w:sz w:val="20"/>
          <w:u w:val="single"/>
        </w:rPr>
        <w:t>Monrovia, California</w:t>
      </w:r>
      <w:r>
        <w:rPr>
          <w:rFonts w:ascii="Times New Roman;serif" w:hAnsi="Times New Roman;serif"/>
          <w:b w:val="false"/>
          <w:color w:val="000000"/>
          <w:sz w:val="20"/>
        </w:rPr>
        <w:t>: The Company leases office and laboratory space in Monrovia, California. The lease term was set to expire in December 2025 and provided an option to renew the entire premises for an additional five-year term, which the Company elected not to exercise. Instead, on August 8, 2025, the Company entered into a seventh amendment to the lease agreement to extend the term for one year, effective January 1, 2026 through December 31, 2026.</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total lease expense associated with this lease is approximately $0.9 million.</w:t>
      </w:r>
    </w:p>
    <w:p>
      <w:pPr>
        <w:pStyle w:val="TextBody"/>
        <w:bidi w:val="0"/>
        <w:spacing w:lineRule="auto" w:line="288" w:before="120" w:after="283"/>
        <w:ind w:left="0" w:right="0" w:firstLine="540"/>
        <w:jc w:val="both"/>
        <w:rPr/>
      </w:pPr>
      <w:r>
        <w:rPr>
          <w:rFonts w:ascii="Times New Roman;serif" w:hAnsi="Times New Roman;serif"/>
          <w:b/>
          <w:color w:val="000000"/>
          <w:sz w:val="20"/>
          <w:u w:val="single"/>
        </w:rPr>
        <w:t>Pasadena, California</w:t>
      </w:r>
      <w:r>
        <w:rPr>
          <w:rFonts w:ascii="Times New Roman;serif" w:hAnsi="Times New Roman;serif"/>
          <w:b w:val="false"/>
          <w:color w:val="000000"/>
          <w:sz w:val="20"/>
        </w:rPr>
        <w:t xml:space="preserve">: In June 2021, the Company entered into a lease agreement for laboratory and office space in Pasadena, California, with a lease term through July 2035 and no renewal option. The lease includes two phases: Phase 1 commenced on August 1, 2022, and Phase 2 commenced on December 1, 2022.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lease provides tenant improvement allowances of up to $17.0 million for Phase 1 and $3.3 million for Phase 2. In August 2022, the lease was amended to provide an additional $5.0 million in Phase 1 improvement allowance in exchange for an increase in rent.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On December 18, 2025, the Company entered into a sublease agreement to sublease a portion of its space to a third party. The sublease term commenced on February 1, 2026 and expires on January 31, 2031. Sublease income is recognized on a straight-line basis over the sublease term and is recorded as other income in the consolidated statements of operations</w:t>
      </w:r>
      <w:r>
        <w:rPr>
          <w:color w:val="000000"/>
        </w:rPr>
        <w:t xml:space="preserve"> </w:t>
      </w:r>
      <w:r>
        <w:rPr>
          <w:rFonts w:ascii="Times New Roman;serif" w:hAnsi="Times New Roman;serif"/>
          <w:b w:val="false"/>
          <w:color w:val="000000"/>
          <w:sz w:val="20"/>
        </w:rPr>
        <w:t xml:space="preserve">and comprehensive loss. The Company recognized sublease income of $0.4 million and $0.8 million during the three and six months ended June 30, 2026, respectively.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continues to account for the head lease as an operating lease and remains primarily obligated under the original lease agreement. Future minimum sublease receipts as of June 30, 2026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609bb953f26a4cd58095f8c6d091a7e3_7">
        <w:r>
          <w:rPr>
            <w:rStyle w:val="InternetLink"/>
            <w:rFonts w:ascii="Times New Roman;serif" w:hAnsi="Times New Roman;serif"/>
            <w:b w:val="false"/>
            <w:color w:val="0000FF"/>
            <w:sz w:val="20"/>
            <w:u w:val="single"/>
          </w:rPr>
          <w:t>Table of Contents</w:t>
        </w:r>
      </w:hyperlink>
    </w:p>
    <w:tbl>
      <w:tblPr>
        <w:tblW w:w="3476" w:type="dxa"/>
        <w:jc w:val="left"/>
        <w:tblInd w:w="0" w:type="dxa"/>
        <w:tblLayout w:type="fixed"/>
        <w:tblCellMar>
          <w:top w:w="28" w:type="dxa"/>
          <w:left w:w="28" w:type="dxa"/>
          <w:bottom w:w="28" w:type="dxa"/>
          <w:right w:w="28" w:type="dxa"/>
        </w:tblCellMar>
      </w:tblPr>
      <w:tblGrid>
        <w:gridCol w:w="714"/>
        <w:gridCol w:w="628"/>
        <w:gridCol w:w="637"/>
        <w:gridCol w:w="109"/>
        <w:gridCol w:w="109"/>
        <w:gridCol w:w="109"/>
        <w:gridCol w:w="253"/>
        <w:gridCol w:w="718"/>
        <w:gridCol w:w="199"/>
      </w:tblGrid>
      <w:tr>
        <w:trPr/>
        <w:tc>
          <w:tcPr>
            <w:tcW w:w="71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w:t>
            </w:r>
          </w:p>
        </w:tc>
      </w:tr>
      <w:tr>
        <w:trPr/>
        <w:tc>
          <w:tcPr>
            <w:tcW w:w="19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 the 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2031 and 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8,284 </w:t>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pPr>
      <w:r>
        <w:rPr>
          <w:rFonts w:ascii="Times New Roman;serif" w:hAnsi="Times New Roman;serif"/>
          <w:b/>
          <w:color w:val="000000"/>
          <w:sz w:val="20"/>
          <w:u w:val="single"/>
        </w:rPr>
        <w:t>San Diego, California</w:t>
      </w:r>
      <w:r>
        <w:rPr>
          <w:rFonts w:ascii="Times New Roman;serif" w:hAnsi="Times New Roman;serif"/>
          <w:b w:val="false"/>
          <w:color w:val="000000"/>
          <w:sz w:val="20"/>
        </w:rPr>
        <w:t xml:space="preserve">: In August 2023, the Company entered into a sublease agreement for office space in San Diego, California, with a lease term from September 2023 through December 2027. As part of the sublease, the Company issued a $0.4 million letter of credit to the landlord, secured by a cash collateral account classified as restricted cash on the consolidated balance sheets. The amount of the letter of credit will decrease over the lease term.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lease agreements do not contain any residual value guarantees or restrictive covenants. The components of lease assets and liabilities along with their classification on the Company’s consolidated balance sheets were as follows:</w:t>
      </w:r>
    </w:p>
    <w:tbl>
      <w:tblPr>
        <w:tblW w:w="9185" w:type="dxa"/>
        <w:jc w:val="left"/>
        <w:tblInd w:w="0" w:type="dxa"/>
        <w:tblLayout w:type="fixed"/>
        <w:tblCellMar>
          <w:top w:w="28" w:type="dxa"/>
          <w:left w:w="28" w:type="dxa"/>
          <w:bottom w:w="28" w:type="dxa"/>
          <w:right w:w="28" w:type="dxa"/>
        </w:tblCellMar>
      </w:tblPr>
      <w:tblGrid>
        <w:gridCol w:w="999"/>
        <w:gridCol w:w="879"/>
        <w:gridCol w:w="881"/>
        <w:gridCol w:w="109"/>
        <w:gridCol w:w="109"/>
        <w:gridCol w:w="109"/>
        <w:gridCol w:w="924"/>
        <w:gridCol w:w="924"/>
        <w:gridCol w:w="927"/>
        <w:gridCol w:w="109"/>
        <w:gridCol w:w="109"/>
        <w:gridCol w:w="109"/>
        <w:gridCol w:w="232"/>
        <w:gridCol w:w="764"/>
        <w:gridCol w:w="129"/>
        <w:gridCol w:w="109"/>
        <w:gridCol w:w="109"/>
        <w:gridCol w:w="109"/>
        <w:gridCol w:w="304"/>
        <w:gridCol w:w="1002"/>
        <w:gridCol w:w="239"/>
      </w:tblGrid>
      <w:tr>
        <w:trPr/>
        <w:tc>
          <w:tcPr>
            <w:tcW w:w="99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Lease Assets and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7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Operating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35,986 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37,592 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Current 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3,917 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3,263 </w:t>
            </w:r>
          </w:p>
        </w:tc>
        <w:tc>
          <w:tcPr>
            <w:tcW w:w="2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Non-current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Lease liabilities,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61,295 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64,735 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maturities of operating lease liabilities on an undiscounted basis as of June 30, 2026: </w:t>
      </w:r>
    </w:p>
    <w:tbl>
      <w:tblPr>
        <w:tblW w:w="5591" w:type="dxa"/>
        <w:jc w:val="left"/>
        <w:tblInd w:w="0" w:type="dxa"/>
        <w:tblLayout w:type="fixed"/>
        <w:tblCellMar>
          <w:top w:w="28" w:type="dxa"/>
          <w:left w:w="28" w:type="dxa"/>
          <w:bottom w:w="28" w:type="dxa"/>
          <w:right w:w="28" w:type="dxa"/>
        </w:tblCellMar>
      </w:tblPr>
      <w:tblGrid>
        <w:gridCol w:w="1477"/>
        <w:gridCol w:w="1299"/>
        <w:gridCol w:w="1318"/>
        <w:gridCol w:w="109"/>
        <w:gridCol w:w="109"/>
        <w:gridCol w:w="109"/>
        <w:gridCol w:w="230"/>
        <w:gridCol w:w="759"/>
        <w:gridCol w:w="181"/>
      </w:tblGrid>
      <w:tr>
        <w:trPr/>
        <w:tc>
          <w:tcPr>
            <w:tcW w:w="1477"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w:t>
            </w:r>
          </w:p>
        </w:tc>
      </w:tr>
      <w:tr>
        <w:trPr/>
        <w:tc>
          <w:tcPr>
            <w:tcW w:w="4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 the 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2031 and 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48,436 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89,459 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(24,247)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lease liabilities (includes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65,212 </w:t>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609bb953f26a4cd58095f8c6d091a7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lease costs, supplemental cash flow and other information: </w:t>
      </w:r>
    </w:p>
    <w:tbl>
      <w:tblPr>
        <w:tblW w:w="9803" w:type="dxa"/>
        <w:jc w:val="left"/>
        <w:tblInd w:w="0" w:type="dxa"/>
        <w:tblLayout w:type="fixed"/>
        <w:tblCellMar>
          <w:top w:w="28" w:type="dxa"/>
          <w:left w:w="28" w:type="dxa"/>
          <w:bottom w:w="28" w:type="dxa"/>
          <w:right w:w="28" w:type="dxa"/>
        </w:tblCellMar>
      </w:tblPr>
      <w:tblGrid>
        <w:gridCol w:w="1823"/>
        <w:gridCol w:w="1605"/>
        <w:gridCol w:w="1611"/>
        <w:gridCol w:w="196"/>
        <w:gridCol w:w="556"/>
        <w:gridCol w:w="109"/>
        <w:gridCol w:w="109"/>
        <w:gridCol w:w="109"/>
        <w:gridCol w:w="109"/>
        <w:gridCol w:w="196"/>
        <w:gridCol w:w="556"/>
        <w:gridCol w:w="109"/>
        <w:gridCol w:w="109"/>
        <w:gridCol w:w="109"/>
        <w:gridCol w:w="109"/>
        <w:gridCol w:w="196"/>
        <w:gridCol w:w="556"/>
        <w:gridCol w:w="256"/>
        <w:gridCol w:w="109"/>
        <w:gridCol w:w="109"/>
        <w:gridCol w:w="109"/>
        <w:gridCol w:w="196"/>
        <w:gridCol w:w="556"/>
        <w:gridCol w:w="301"/>
      </w:tblGrid>
      <w:tr>
        <w:trPr/>
        <w:tc>
          <w:tcPr>
            <w:tcW w:w="1823"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cost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Variable lease cost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 costs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4,176 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amounts included in the measurement of lease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Weighted-average remaining lease term (in years)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years</w:t>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Weighted-average discount rate (%)</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10. Stock-Based Compensation</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June 2023, the Company’s Board of Directors (the “Board”) and stockholders approved the 2023 Equity Incentive Plan (the “2023 Plan”), which became effective on June 14, 2023, and replaced the 2013 Equity Incentive Plan (the “2013 Plan”). No additional awards may be granted under the 2013 Plan.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2023 Plan reserves 3,000,000 shares of common stock, plus any remaining shares available under the 2013 Plan as of the effective date. In addition, shares subject to outstanding awards under the 2013 Plan that expire, are forfeited, or otherwise terminate without being issued after June 14, 2023, will be added to the 2023 Plan share reserve. The 2023 Plan does not include an automatic annual share increase (an evergreen provision). On June 12, 2025, the Company’s stockholders approved the amendment and restatement of the 2023 Plan, increasing the number of shares authorized for issuance thereunder by 3,000,000 shares. On June 16, 2026, the Company’s stockholders approved a subsequent amendment to the 2023 Plan, increasing the number of shares authorized for issuance thereunder by an additional 4,000,000 shares. As of June 30, 2026, the total number of shares of common stock reserved for issuance under the 2023 Plan is 23,135,269.</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the Company’s Board and stockholders approved the Employee Stock Purchase Plan (the “ESPP”), which became effective on December 5, 2013. As of June 30, 2026, the total number of shares of common stock available for issuance under the ESPP is 739,190.</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awards outstanding:</w:t>
      </w:r>
    </w:p>
    <w:tbl>
      <w:tblPr>
        <w:tblW w:w="5239" w:type="dxa"/>
        <w:jc w:val="left"/>
        <w:tblInd w:w="0" w:type="dxa"/>
        <w:tblLayout w:type="fixed"/>
        <w:tblCellMar>
          <w:top w:w="28" w:type="dxa"/>
          <w:left w:w="28" w:type="dxa"/>
          <w:bottom w:w="28" w:type="dxa"/>
          <w:right w:w="28" w:type="dxa"/>
        </w:tblCellMar>
      </w:tblPr>
      <w:tblGrid>
        <w:gridCol w:w="397"/>
        <w:gridCol w:w="347"/>
        <w:gridCol w:w="351"/>
        <w:gridCol w:w="435"/>
        <w:gridCol w:w="436"/>
        <w:gridCol w:w="281"/>
        <w:gridCol w:w="109"/>
        <w:gridCol w:w="109"/>
        <w:gridCol w:w="109"/>
        <w:gridCol w:w="435"/>
        <w:gridCol w:w="436"/>
        <w:gridCol w:w="281"/>
        <w:gridCol w:w="109"/>
        <w:gridCol w:w="109"/>
        <w:gridCol w:w="109"/>
        <w:gridCol w:w="480"/>
        <w:gridCol w:w="481"/>
        <w:gridCol w:w="225"/>
      </w:tblGrid>
      <w:tr>
        <w:trPr/>
        <w:tc>
          <w:tcPr>
            <w:tcW w:w="39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2013 Plan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 Plan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options</w:t>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8,200,324 </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6,768,224 </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14,968,548 </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RSUs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2,324,382 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2,324,382 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8,200,324 </w:t>
            </w:r>
          </w:p>
        </w:tc>
        <w:tc>
          <w:tcPr>
            <w:tcW w:w="2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9,092,606 </w:t>
            </w:r>
          </w:p>
        </w:tc>
        <w:tc>
          <w:tcPr>
            <w:tcW w:w="2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17,292,930 </w:t>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stock-based compensation expenses included in operating expenses:</w:t>
      </w:r>
    </w:p>
    <w:tbl>
      <w:tblPr>
        <w:tblW w:w="6794" w:type="dxa"/>
        <w:jc w:val="left"/>
        <w:tblInd w:w="0" w:type="dxa"/>
        <w:tblLayout w:type="fixed"/>
        <w:tblCellMar>
          <w:top w:w="28" w:type="dxa"/>
          <w:left w:w="28" w:type="dxa"/>
          <w:bottom w:w="28" w:type="dxa"/>
          <w:right w:w="28" w:type="dxa"/>
        </w:tblCellMar>
      </w:tblPr>
      <w:tblGrid>
        <w:gridCol w:w="743"/>
        <w:gridCol w:w="655"/>
        <w:gridCol w:w="656"/>
        <w:gridCol w:w="196"/>
        <w:gridCol w:w="55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743"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General and administrative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Research and development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18,753 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22,950 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609bb953f26a4cd58095f8c6d091a7e3_7">
        <w:r>
          <w:rPr>
            <w:rStyle w:val="InternetLink"/>
            <w:rFonts w:ascii="Times New Roman;serif" w:hAnsi="Times New Roman;serif"/>
            <w:b w:val="false"/>
            <w:color w:val="0000FF"/>
            <w:sz w:val="20"/>
            <w:u w:val="single"/>
          </w:rPr>
          <w:t>Table of Contents</w:t>
        </w:r>
      </w:hyperlink>
    </w:p>
    <w:tbl>
      <w:tblPr>
        <w:tblW w:w="5835" w:type="dxa"/>
        <w:jc w:val="left"/>
        <w:tblInd w:w="0" w:type="dxa"/>
        <w:tblLayout w:type="fixed"/>
        <w:tblCellMar>
          <w:top w:w="28" w:type="dxa"/>
          <w:left w:w="28" w:type="dxa"/>
          <w:bottom w:w="28" w:type="dxa"/>
          <w:right w:w="28" w:type="dxa"/>
        </w:tblCellMar>
      </w:tblPr>
      <w:tblGrid>
        <w:gridCol w:w="397"/>
        <w:gridCol w:w="347"/>
        <w:gridCol w:w="351"/>
        <w:gridCol w:w="196"/>
        <w:gridCol w:w="55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39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RSUs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ESPP</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18,753 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22,950 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Stock Option Awards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the stock option activity for the six months ended June 30, 2026:</w:t>
      </w:r>
    </w:p>
    <w:tbl>
      <w:tblPr>
        <w:tblW w:w="7836" w:type="dxa"/>
        <w:jc w:val="left"/>
        <w:tblInd w:w="0" w:type="dxa"/>
        <w:tblLayout w:type="fixed"/>
        <w:tblCellMar>
          <w:top w:w="28" w:type="dxa"/>
          <w:left w:w="28" w:type="dxa"/>
          <w:bottom w:w="28" w:type="dxa"/>
          <w:right w:w="28" w:type="dxa"/>
        </w:tblCellMar>
      </w:tblPr>
      <w:tblGrid>
        <w:gridCol w:w="940"/>
        <w:gridCol w:w="825"/>
        <w:gridCol w:w="830"/>
        <w:gridCol w:w="399"/>
        <w:gridCol w:w="399"/>
        <w:gridCol w:w="401"/>
        <w:gridCol w:w="109"/>
        <w:gridCol w:w="109"/>
        <w:gridCol w:w="109"/>
        <w:gridCol w:w="205"/>
        <w:gridCol w:w="581"/>
        <w:gridCol w:w="114"/>
        <w:gridCol w:w="109"/>
        <w:gridCol w:w="109"/>
        <w:gridCol w:w="109"/>
        <w:gridCol w:w="330"/>
        <w:gridCol w:w="330"/>
        <w:gridCol w:w="331"/>
        <w:gridCol w:w="109"/>
        <w:gridCol w:w="109"/>
        <w:gridCol w:w="109"/>
        <w:gridCol w:w="230"/>
        <w:gridCol w:w="759"/>
        <w:gridCol w:w="181"/>
      </w:tblGrid>
      <w:tr>
        <w:trPr/>
        <w:tc>
          <w:tcPr>
            <w:tcW w:w="94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w:t>
              <w:br/>
              <w:t>Shares Subject</w:t>
              <w:br/>
              <w:t>to Outstanding</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w:t>
              <w:br/>
              <w:t>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Contractual</w:t>
              <w:br/>
              <w:t>Term</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Aggregate</w:t>
              <w:br/>
              <w:t>Intrinsic</w:t>
              <w:br/>
              <w:t>Value</w:t>
              <w:br/>
              <w:t>(in thousands)</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at December 31, 2025</w:t>
            </w:r>
          </w:p>
        </w:tc>
        <w:tc>
          <w:tcPr>
            <w:tcW w:w="11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12,956,592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26.93 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5,156 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2,716,094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w:t>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(623,241)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at June 30, 2026</w:t>
            </w:r>
          </w:p>
        </w:tc>
        <w:tc>
          <w:tcPr>
            <w:tcW w:w="11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14,968,548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16,297 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Exercisable at June 30, 2026</w:t>
            </w:r>
          </w:p>
        </w:tc>
        <w:tc>
          <w:tcPr>
            <w:tcW w:w="1199"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9,926,176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aggregate intrinsic values represent the amount by which the market price of the underlying stock exceeds the exercise price of the option. The total intrinsic value of the options exercised during the three and six months ended June 30, 2026 was $0 and $0.1 million, respectively. The total intrinsic value of the options exercised during the three and six months ended June 30, 2025 was $0 and $0.5 million, respectively.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June 30, 2026, the pre-tax compensation expense for all outstanding unvested stock options in the amount of $39.1 million will be recognized in the Company’s results of operations over a weighted average period of 2.5 years.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per share weighted average grant date fair values of the stock options granted in the period are $6.96 and $7.01 for the three and six months ended June 30, 2026, respectively, and $5.00 and $7.31 for the three and six months ended June 30, 2025, respectively. The following table provides the weighted-average assumptions used in the calculation of grant date per share fair values of these stock options based on the Black-Scholes option pricing model:</w:t>
      </w:r>
    </w:p>
    <w:tbl>
      <w:tblPr>
        <w:tblW w:w="7008" w:type="dxa"/>
        <w:jc w:val="left"/>
        <w:tblInd w:w="0" w:type="dxa"/>
        <w:tblLayout w:type="fixed"/>
        <w:tblCellMar>
          <w:top w:w="28" w:type="dxa"/>
          <w:left w:w="28" w:type="dxa"/>
          <w:bottom w:w="28" w:type="dxa"/>
          <w:right w:w="28" w:type="dxa"/>
        </w:tblCellMar>
      </w:tblPr>
      <w:tblGrid>
        <w:gridCol w:w="738"/>
        <w:gridCol w:w="650"/>
        <w:gridCol w:w="652"/>
        <w:gridCol w:w="196"/>
        <w:gridCol w:w="556"/>
        <w:gridCol w:w="256"/>
        <w:gridCol w:w="109"/>
        <w:gridCol w:w="109"/>
        <w:gridCol w:w="109"/>
        <w:gridCol w:w="196"/>
        <w:gridCol w:w="466"/>
        <w:gridCol w:w="256"/>
        <w:gridCol w:w="109"/>
        <w:gridCol w:w="109"/>
        <w:gridCol w:w="109"/>
        <w:gridCol w:w="196"/>
        <w:gridCol w:w="556"/>
        <w:gridCol w:w="256"/>
        <w:gridCol w:w="109"/>
        <w:gridCol w:w="109"/>
        <w:gridCol w:w="109"/>
        <w:gridCol w:w="196"/>
        <w:gridCol w:w="556"/>
        <w:gridCol w:w="301"/>
      </w:tblGrid>
      <w:tr>
        <w:trPr/>
        <w:tc>
          <w:tcPr>
            <w:tcW w:w="73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Expected term (in years) </w:t>
            </w:r>
            <w:r>
              <w:rPr>
                <w:rFonts w:ascii="Times New Roman;serif" w:hAnsi="Times New Roman;serif"/>
                <w:b w:val="false"/>
                <w:color w:val="000000"/>
                <w:sz w:val="12"/>
              </w:rPr>
              <w:t>(1)</w:t>
            </w:r>
          </w:p>
        </w:tc>
        <w:tc>
          <w:tcPr>
            <w:tcW w:w="100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Expected volatility </w:t>
            </w:r>
            <w:r>
              <w:rPr>
                <w:rFonts w:ascii="Times New Roman;serif" w:hAnsi="Times New Roman;serif"/>
                <w:b w:val="false"/>
                <w:color w:val="000000"/>
                <w:sz w:val="12"/>
              </w:rPr>
              <w:t>(2)</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Risk-free interest rate </w:t>
            </w:r>
            <w:r>
              <w:rPr>
                <w:rFonts w:ascii="Times New Roman;serif" w:hAnsi="Times New Roman;serif"/>
                <w:b w:val="false"/>
                <w:color w:val="000000"/>
                <w:sz w:val="12"/>
              </w:rPr>
              <w:t>(3)</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Expected dividend yield </w:t>
            </w:r>
            <w:r>
              <w:rPr>
                <w:rFonts w:ascii="Times New Roman;serif" w:hAnsi="Times New Roman;serif"/>
                <w:b w:val="false"/>
                <w:color w:val="000000"/>
                <w:sz w:val="12"/>
              </w:rPr>
              <w:t>(4)</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Underlying stock price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i/>
          <w:color w:val="000000"/>
          <w:sz w:val="16"/>
        </w:rPr>
        <w:t>(1) The computation of expected term was determined based on the option holders</w:t>
      </w:r>
      <w:r>
        <w:rPr>
          <w:color w:val="000000"/>
        </w:rPr>
        <w:t xml:space="preserve">’ </w:t>
      </w:r>
      <w:r>
        <w:rPr>
          <w:rFonts w:ascii="Times New Roman;serif" w:hAnsi="Times New Roman;serif"/>
          <w:b w:val="false"/>
          <w:i/>
          <w:color w:val="000000"/>
          <w:sz w:val="16"/>
        </w:rPr>
        <w:t>past exercise patterns.</w:t>
      </w:r>
    </w:p>
    <w:p>
      <w:pPr>
        <w:pStyle w:val="TextBody"/>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(2) Volatility is estimated based on volatility average of the Company’s common stock price.</w:t>
      </w:r>
    </w:p>
    <w:p>
      <w:pPr>
        <w:pStyle w:val="TextBody"/>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(3) The risk-free interest rate is based on that of the U.S. Treasury yields with equivalent terms in effect at the time of the grant.</w:t>
      </w:r>
    </w:p>
    <w:p>
      <w:pPr>
        <w:pStyle w:val="TextBody"/>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(4) The dividend yield is zero as the Company currently does not pay a dividend.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609bb953f26a4cd58095f8c6d091a7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pPr>
      <w:r>
        <w:rPr>
          <w:rFonts w:ascii="Times New Roman;serif" w:hAnsi="Times New Roman;serif"/>
          <w:b/>
          <w:i/>
          <w:color w:val="000000"/>
          <w:sz w:val="20"/>
        </w:rPr>
        <w:t>Restricted Stock Units (</w:t>
      </w:r>
      <w:r>
        <w:rPr>
          <w:color w:val="000000"/>
        </w:rPr>
        <w:t>“</w:t>
      </w:r>
      <w:r>
        <w:rPr>
          <w:rFonts w:ascii="Times New Roman;serif" w:hAnsi="Times New Roman;serif"/>
          <w:b/>
          <w:i/>
          <w:color w:val="000000"/>
          <w:sz w:val="20"/>
        </w:rPr>
        <w:t>RSUs</w:t>
      </w:r>
      <w:r>
        <w:rPr>
          <w:color w:val="000000"/>
        </w:rPr>
        <w:t>”</w:t>
      </w:r>
      <w:r>
        <w:rPr>
          <w:rFonts w:ascii="Times New Roman;serif" w:hAnsi="Times New Roman;serif"/>
          <w:b/>
          <w:i/>
          <w:color w:val="000000"/>
          <w:sz w:val="20"/>
        </w:rPr>
        <w: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of the Company’s RSUs:</w:t>
      </w:r>
    </w:p>
    <w:tbl>
      <w:tblPr>
        <w:tblW w:w="5306" w:type="dxa"/>
        <w:jc w:val="left"/>
        <w:tblInd w:w="0" w:type="dxa"/>
        <w:tblLayout w:type="fixed"/>
        <w:tblCellMar>
          <w:top w:w="28" w:type="dxa"/>
          <w:left w:w="28" w:type="dxa"/>
          <w:bottom w:w="28" w:type="dxa"/>
          <w:right w:w="28" w:type="dxa"/>
        </w:tblCellMar>
      </w:tblPr>
      <w:tblGrid>
        <w:gridCol w:w="1021"/>
        <w:gridCol w:w="896"/>
        <w:gridCol w:w="902"/>
        <w:gridCol w:w="280"/>
        <w:gridCol w:w="280"/>
        <w:gridCol w:w="281"/>
        <w:gridCol w:w="109"/>
        <w:gridCol w:w="109"/>
        <w:gridCol w:w="109"/>
        <w:gridCol w:w="285"/>
        <w:gridCol w:w="810"/>
        <w:gridCol w:w="224"/>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Restricted</w:t>
              <w:br/>
              <w:t>Stock</w:t>
              <w:b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Weighted </w:t>
              <w:br/>
              <w:t xml:space="preserve">Average Grant </w:t>
              <w:br/>
              <w:t>Date Fair Value</w:t>
              <w:br/>
              <w:t>(Per unit)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as of December 31, 2025</w:t>
            </w:r>
          </w:p>
        </w:tc>
        <w:tc>
          <w:tcPr>
            <w:tcW w:w="8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1,981,345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18.01 </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1,394,881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(909,655)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19.80 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(142,189)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15.29 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as of June 30, 2026</w:t>
            </w:r>
          </w:p>
        </w:tc>
        <w:tc>
          <w:tcPr>
            <w:tcW w:w="841"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2,324,382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13.94 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fair value of RSUs was determined based on the closing price of the Company’s common stock on the grant date.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June 30, 2026, there was $26.7 million of total unrecognized compensation cost related to RSUs that is expected to be recognized over a weighted-average period of 2.1 years.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 xml:space="preserve">Employee Stock Purchase Plan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assumptions used in the calculation of grant date fair values of these shares issued under the Company’s ESPP based on the Black-Scholes option pricing model:</w:t>
      </w:r>
    </w:p>
    <w:tbl>
      <w:tblPr>
        <w:tblW w:w="6833" w:type="dxa"/>
        <w:jc w:val="left"/>
        <w:tblInd w:w="0" w:type="dxa"/>
        <w:tblLayout w:type="fixed"/>
        <w:tblCellMar>
          <w:top w:w="28" w:type="dxa"/>
          <w:left w:w="28" w:type="dxa"/>
          <w:bottom w:w="28" w:type="dxa"/>
          <w:right w:w="28" w:type="dxa"/>
        </w:tblCellMar>
      </w:tblPr>
      <w:tblGrid>
        <w:gridCol w:w="667"/>
        <w:gridCol w:w="588"/>
        <w:gridCol w:w="590"/>
        <w:gridCol w:w="221"/>
        <w:gridCol w:w="185"/>
        <w:gridCol w:w="322"/>
        <w:gridCol w:w="137"/>
        <w:gridCol w:w="137"/>
        <w:gridCol w:w="137"/>
        <w:gridCol w:w="272"/>
        <w:gridCol w:w="272"/>
        <w:gridCol w:w="640"/>
        <w:gridCol w:w="109"/>
        <w:gridCol w:w="109"/>
        <w:gridCol w:w="109"/>
        <w:gridCol w:w="233"/>
        <w:gridCol w:w="233"/>
        <w:gridCol w:w="282"/>
        <w:gridCol w:w="120"/>
        <w:gridCol w:w="120"/>
        <w:gridCol w:w="120"/>
        <w:gridCol w:w="258"/>
        <w:gridCol w:w="258"/>
        <w:gridCol w:w="714"/>
      </w:tblGrid>
      <w:tr>
        <w:trPr/>
        <w:tc>
          <w:tcPr>
            <w:tcW w:w="66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2026</w:t>
            </w:r>
            <w:r>
              <w:rPr>
                <w:rFonts w:ascii="Times New Roman;serif" w:hAnsi="Times New Roman;serif"/>
                <w:b/>
                <w:color w:val="000000"/>
                <w:sz w:val="10"/>
              </w:rPr>
              <w:t>(1)</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term (in years)</w:t>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0.5 - 2.0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0.5 - 2.0</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volatility</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43.0% - 73.3%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66.2 </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43.0% - 73.3%</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Risk-free interest rate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4.2% - 5.4%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4.2% - 5.4%</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dividend yield</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(1) There were no ESPP grants during the three months ended June 30, 2026</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June 30, 2026, there was no unrecognized pre-tax compensation expense for all outstanding shares issued under the Company’s ESPP.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11. Net Loss Per Share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computation of basic and diluted net loss per share.</w:t>
      </w:r>
    </w:p>
    <w:p>
      <w:pPr>
        <w:pStyle w:val="TextBody"/>
        <w:bidi w:val="0"/>
        <w:spacing w:before="0" w:after="0"/>
        <w:jc w:val="left"/>
        <w:rPr/>
      </w:pPr>
      <w:r>
        <w:rPr/>
      </w:r>
    </w:p>
    <w:tbl>
      <w:tblPr>
        <w:tblW w:w="8504" w:type="dxa"/>
        <w:jc w:val="left"/>
        <w:tblInd w:w="0" w:type="dxa"/>
        <w:tblLayout w:type="fixed"/>
        <w:tblCellMar>
          <w:top w:w="28" w:type="dxa"/>
          <w:left w:w="28" w:type="dxa"/>
          <w:bottom w:w="28" w:type="dxa"/>
          <w:right w:w="28" w:type="dxa"/>
        </w:tblCellMar>
      </w:tblPr>
      <w:tblGrid>
        <w:gridCol w:w="1187"/>
        <w:gridCol w:w="1047"/>
        <w:gridCol w:w="1050"/>
        <w:gridCol w:w="196"/>
        <w:gridCol w:w="721"/>
        <w:gridCol w:w="109"/>
        <w:gridCol w:w="109"/>
        <w:gridCol w:w="109"/>
        <w:gridCol w:w="109"/>
        <w:gridCol w:w="196"/>
        <w:gridCol w:w="721"/>
        <w:gridCol w:w="109"/>
        <w:gridCol w:w="109"/>
        <w:gridCol w:w="109"/>
        <w:gridCol w:w="109"/>
        <w:gridCol w:w="196"/>
        <w:gridCol w:w="811"/>
        <w:gridCol w:w="109"/>
        <w:gridCol w:w="109"/>
        <w:gridCol w:w="109"/>
        <w:gridCol w:w="109"/>
        <w:gridCol w:w="196"/>
        <w:gridCol w:w="721"/>
        <w:gridCol w:w="154"/>
      </w:tblGrid>
      <w:tr>
        <w:trPr/>
        <w:tc>
          <w:tcPr>
            <w:tcW w:w="1187"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Numerator:</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Xencor, Inc.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(150,645)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Denominator:</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basic shares outstanding</w:t>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73,975</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dilutive securities</w:t>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diluted shares outstanding</w:t>
            </w:r>
          </w:p>
        </w:tc>
        <w:tc>
          <w:tcPr>
            <w:tcW w:w="102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73,975</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and diluted net loss per share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All outstanding options and RSUs as of June 30, 2026 and 2025 were excluded from the calculation of diluted net loss per share because to include them would be anti-dilutive.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609bb953f26a4cd58095f8c6d091a7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12. Segment Reporting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operates as a single reportable segment focused on discovering and developing engineered antibody therapeutics to treat patients with cancer and autoimmune diseases who have unmet medical needs.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Chief Executive Officer (“CEO”) serves as the Chief Operating Decision Maker (“CODM”). The CODM evaluates performance, allocates resources, and conducts planning and forecasting on a consolidated basis using financial information as presented in the Company’s consolidated statements of operations and comprehensive loss. In addition, the CODM reviews research and development expenses by program. Managing and allocating resources at the corporate level enables the Company’s CEO to assess the overall level of resources available and to deploy those resources in alignment with the Company’s long-term, corporate-wide strategic objectives.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table below details the Company’s revenues and expenses and reconciles those amounts to the Company’s consolidated net loss including noncontrolling interest as computed under U.S. GAAP in the consolidated statements of operations and comprehensive loss:</w:t>
      </w:r>
    </w:p>
    <w:tbl>
      <w:tblPr>
        <w:tblW w:w="9119" w:type="dxa"/>
        <w:jc w:val="left"/>
        <w:tblInd w:w="0" w:type="dxa"/>
        <w:tblLayout w:type="fixed"/>
        <w:tblCellMar>
          <w:top w:w="28" w:type="dxa"/>
          <w:left w:w="28" w:type="dxa"/>
          <w:bottom w:w="28" w:type="dxa"/>
          <w:right w:w="28" w:type="dxa"/>
        </w:tblCellMar>
      </w:tblPr>
      <w:tblGrid>
        <w:gridCol w:w="1412"/>
        <w:gridCol w:w="1238"/>
        <w:gridCol w:w="1249"/>
        <w:gridCol w:w="196"/>
        <w:gridCol w:w="721"/>
        <w:gridCol w:w="109"/>
        <w:gridCol w:w="109"/>
        <w:gridCol w:w="109"/>
        <w:gridCol w:w="109"/>
        <w:gridCol w:w="196"/>
        <w:gridCol w:w="721"/>
        <w:gridCol w:w="109"/>
        <w:gridCol w:w="109"/>
        <w:gridCol w:w="109"/>
        <w:gridCol w:w="109"/>
        <w:gridCol w:w="196"/>
        <w:gridCol w:w="811"/>
        <w:gridCol w:w="109"/>
        <w:gridCol w:w="109"/>
        <w:gridCol w:w="109"/>
        <w:gridCol w:w="109"/>
        <w:gridCol w:w="196"/>
        <w:gridCol w:w="721"/>
        <w:gridCol w:w="154"/>
      </w:tblGrid>
      <w:tr>
        <w:trPr/>
        <w:tc>
          <w:tcPr>
            <w:tcW w:w="1412"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License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Milestone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Royalties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76,340 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Less: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XmAb942 (Xtend TL1A)</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XmAb819 (ENPP3 x CD3)</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XmAb412 (TL1A x IL-23p19)</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XmAb541 (CLDN6 x CD3)</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XmAb657 (CD19 x CD3)</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Plamotamab (CD20 x CD3)</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XmAb808 (B7-H3 x CD28)</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programs including research and early stage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Wind down costs of terminated programs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Internal research and development expenses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stock based compensation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General and administrative </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income (expense), net </w:t>
            </w:r>
            <w:r>
              <w:rPr>
                <w:rFonts w:ascii="Times New Roman;serif" w:hAnsi="Times New Roman;serif"/>
                <w:b w:val="false"/>
                <w:color w:val="000000"/>
                <w:sz w:val="12"/>
              </w:rPr>
              <w:t>(1)</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(expense)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 including noncontrolling interest</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(21,729)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(30,825)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(150,645)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(79,457)</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i/>
          <w:color w:val="000000"/>
          <w:sz w:val="16"/>
        </w:rPr>
      </w:pPr>
      <w:r>
        <w:rPr>
          <w:rFonts w:ascii="Times New Roman;serif" w:hAnsi="Times New Roman;serif"/>
          <w:b w:val="false"/>
          <w:i/>
          <w:color w:val="000000"/>
          <w:sz w:val="16"/>
        </w:rPr>
        <w:t xml:space="preserve">(1) Other income (expense), net includes interest income, interest expense, gain/loss on marketable equity securities and asset impairment charges.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and 2025, the Company’s total revenues were derived from collaboration and licensing agreements and were reported within the Company’s single operating segment. Revenues are attributed to geographic areas based on the location of the Company’s customers. For the three and six months ended June 30, 2026 and 2025, substantially all of the Company’s revenues were generated from customers located in the United States, and substantially all of the Company’s long-lived assets were located in the United States. The measure of segment assets is reported on the consolidated balance sheets as total consolidated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13. Subsequent Events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July 29, 2026, the Company entered into a settlement agreement and release (the “Settlement Agreement”) with Alexion, resolving a commercial dispute regarding U.S. royalties on Ultomiris® (ravulizumab-cwvz).</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609bb953f26a4cd58095f8c6d091a7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previously disclosed, in March 2026, Alexion notified the Company of its position that no additional royalties were owed on U.S. sales of Ultomiris and that it did not intend to make further payments related to U.S. sales. The Settlement Agreement fully and finally resolves this dispute.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Pursuant to the Settlement Agreement, the Company will receive an aggregate of $105.0 million from Alexion, payable in two equal installments of $52.5 million: the first payment is anticipated to be received in August 2026, and the second payment is due following the one-year anniversary of the date of the Settlement Agreement. Following the settlement, Alexion has no further obligation to pay royalties on U.S. sales of Ultomiris. The Settlement Agreement does not affect the Company’s right to receive royalties on ex-U.S. sales of Ultomiris under the existing terms of the Alexion Agreement, as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should be read in conjunction with the consolidated financial statements and accompanying notes included in this Quarterly Report on Form 10-Q and the consolidated financial statements and accompanying notes thereto for the fiscal year ended December 31, 2025 and the related Management’s Discussion and Analysis of Financial Condition and Results of Operations, both of which are contained in our Annual Report on Form 10-K for the year ended December 31, 2025. See also “Special Note Regarding Forward-Looking Statements” included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a clinical-stage biopharmaceutical company focused on discovering and developing engineered antibody therapeutics to treat patients with cancer and autoimmune diseases who have unmet medical needs. Leveraging our XmAb® protein engineering platforms, we rapidly design, engineer and advance purpose-built drug candidates with novel mechanisms of action and improved therapeutic potential.</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advance selected candidates through clinical development, while also partnering with programs to access complementary development and commercialization capabilities. Our portfolio spans early- and mid-stage clinical programs, and our strategic approach emphasizes disciplined portfolio management, including advancing, partnering, or discontinuing programs based on clinical data and development priorities. Three marketed medicines have been developed using our XmAb technologies.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Refer to Part I, “Item 1. Business” in our Annual Report on Form 10-K for the year ended December 31, 2025 for a more detailed discussion of our business, technology platforms, pipeline, and key developments.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Wholly Owned Clinical-Stage XmAb Drug Candidates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currently enrolling seven clinical studies to evaluate our XmAb drug candidates for patients with many different types of serious diseases.</w:t>
      </w:r>
    </w:p>
    <w:p>
      <w:pPr>
        <w:pStyle w:val="TextBody"/>
        <w:bidi w:val="0"/>
        <w:spacing w:lineRule="auto" w:line="288" w:before="18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Oncology Programs</w:t>
      </w:r>
    </w:p>
    <w:p>
      <w:pPr>
        <w:pStyle w:val="TextBody"/>
        <w:bidi w:val="0"/>
        <w:spacing w:lineRule="auto" w:line="288" w:before="120" w:after="283"/>
        <w:ind w:left="0" w:right="0" w:firstLine="540"/>
        <w:jc w:val="both"/>
        <w:rPr/>
      </w:pPr>
      <w:r>
        <w:rPr>
          <w:rFonts w:ascii="Times New Roman;serif" w:hAnsi="Times New Roman;serif"/>
          <w:b/>
          <w:i/>
          <w:color w:val="000000"/>
          <w:sz w:val="20"/>
        </w:rPr>
        <w:t xml:space="preserve">XmAb819 (ENPP3 x CD3): </w:t>
      </w:r>
      <w:r>
        <w:rPr>
          <w:rFonts w:ascii="Times New Roman;serif" w:hAnsi="Times New Roman;serif"/>
          <w:b w:val="false"/>
          <w:color w:val="000000"/>
          <w:sz w:val="20"/>
        </w:rPr>
        <w:t>XmAb819 is a novel, potential first-in-class, tumor-targeted, T-cell engaging XmAb 2+1 bispecific antibody in development for patients with clear cell renal cell carcinoma (ccRCC) and additional ENPP3+ tumors. XmAb819 is designed to engage the immune system and activate T cells for highly potent and targeted lysis of tumor cells expressing ENPP3. ENPP3 is differentially expressed with high level expression in several tumor types and low level expression on normal tissues. With two tumor-antigen binding domains and one T-cell binding domain, our XmAb 2+1 format is designed to enable antibodies to bind more avidly and selectively kill tumor cells with higher antigen density, potentially sparing normal cells. We are conducting a Phase 1 study to evaluate XmAb819 in patients with ENPP3+ tumors. Currently, expansion cohorts are evaluating intravenous doses to support selection of a dose for the planned Phase 3 pivotal study for patients with advanced ccRCC; dose escalation of subcutaneous administration in advanced ccRCC is ongoing; a sub-study for patients with ENPP3+ advanced colorectal cancer (CRC), non-small cell lung cancer (NSCLC) and papillary renal cell carcinoma (pRCC) began enrollment in the second quarter of 2026, and a sub-study for patients with intermediate- or poor-risk advanced ccRCC who have progressed after front-line immuno-oncology (IO) doublet therapy is planned to open for enrollment in the third quarter of 2026.</w:t>
      </w:r>
    </w:p>
    <w:p>
      <w:pPr>
        <w:pStyle w:val="TextBody"/>
        <w:bidi w:val="0"/>
        <w:spacing w:lineRule="auto" w:line="288" w:before="120" w:after="283"/>
        <w:ind w:left="0" w:right="0" w:firstLine="540"/>
        <w:jc w:val="both"/>
        <w:rPr/>
      </w:pPr>
      <w:r>
        <w:rPr>
          <w:rFonts w:ascii="Times New Roman;serif" w:hAnsi="Times New Roman;serif"/>
          <w:b/>
          <w:i/>
          <w:color w:val="000000"/>
          <w:sz w:val="20"/>
        </w:rPr>
        <w:t xml:space="preserve">XmAb541 (CLDN6 x CD3) + XmAb808 (B7-H3 x CD28): </w:t>
      </w:r>
      <w:r>
        <w:rPr>
          <w:rFonts w:ascii="Times New Roman;serif" w:hAnsi="Times New Roman;serif"/>
          <w:b w:val="false"/>
          <w:color w:val="000000"/>
          <w:sz w:val="20"/>
        </w:rPr>
        <w:t>XmAb541 and XmAb808 are being evaluated in Phase 1 clinical development for T-cell engagement of CLDN6-expressing tumors, including high-grade serous ovarian cancer. Together, XmAb541 and XmAb808 are intended to provide tumor-targeted T-cell activation and co-stimulation.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XmAb541 is a novel, potential first-in-class, tumor-targeted, T-cell engaging XmAb 2+1 bispecific antibody. The XmAb 2+1 multivalent format used in XmAb541 is intended to enable greater selectivity for CLDN6 over similar claudin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609bb953f26a4cd58095f8c6d091a7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family members, such as CLDN9, CLDN3 and CLDN4, and XmAb541 is designed to engage the immune system and activate T cells for highly potent and targeted lysis of tumor cells expressing CLDN6.</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XmAb808 is a tumor-selective, co-stimulatory CD28 bispecific antibody that binds to the broadly expressed tumor antigen B7-H3 and is also constructed with the XmAb 2+1 multivalent format. Co-stimulation is required for T cells to achieve full activation, and targeted CD28 bispecific antibodies may provide conditional co-stimulation when the antibodies are bound to tumor cells.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At the American Association for Cancer Research Annual Meeting in April 2026, we presented data demonstrating co-expression of CLDN6 and B7-H3 on high-grade serous ovarian carcinoma cells. Preclinical testing demonstrated that XmAb808 promoted durable T-cell-directed killing of cancer cells with XmAb541, enhanced XmAb541-induced killing by exhausted T cells and enhanced the anti-tumor activity of XmAb541. CLDN6 and B7-H3 have low expression overlap on normal tissues, potentially localizing T-cell co-stimulation to tumor cells, which supports the continued clinical evaluation of the XmAb541 and XmAb808 combination in patients with CLDN6-expressing tumors.</w:t>
      </w:r>
    </w:p>
    <w:p>
      <w:pPr>
        <w:pStyle w:val="TextBody"/>
        <w:bidi w:val="0"/>
        <w:spacing w:lineRule="auto" w:line="288" w:before="120" w:after="283"/>
        <w:ind w:left="0" w:right="0" w:firstLine="540"/>
        <w:jc w:val="both"/>
        <w:rPr/>
      </w:pPr>
      <w:r>
        <w:rPr>
          <w:rFonts w:ascii="Times New Roman;serif" w:hAnsi="Times New Roman;serif"/>
          <w:b/>
          <w:i/>
          <w:color w:val="000000"/>
          <w:sz w:val="20"/>
        </w:rPr>
        <w:t>XmAb541 (CLDN6 x CD3):</w:t>
      </w:r>
      <w:r>
        <w:rPr>
          <w:color w:val="000000"/>
        </w:rPr>
        <w:t xml:space="preserve"> </w:t>
      </w:r>
      <w:r>
        <w:rPr>
          <w:rFonts w:ascii="Times New Roman;serif" w:hAnsi="Times New Roman;serif"/>
          <w:b w:val="false"/>
          <w:color w:val="000000"/>
          <w:sz w:val="20"/>
        </w:rPr>
        <w:t>We have prioritized the development of XmAb541 in combination with XmAb808. XmAb541 monotherapy expansion cohorts at the putative recommended Phase 3 dose (RP3D) of 60 mg dosed every 3 weeks in high-grade serous ovarian carcinoma (TPS≥50) and germ cell tumors are expected to complete enrollment by year end, with the data intended to support further combination development with XmAb808.</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Emerging clinical data from XmAb541 monotherapy support evaluation of XmAb541 in combination with XmAb808. At the putative RP3D, clinical activity has been observed in heavily pretreated patients, with an approximate overall response rate of 14% in patients with ovarian cancer and an approximate overall response rate of 28% in patients with germ cell tumors. Potential additional anti-tumor activity was observed at doses above 60 mg; however, reversible hearing impairment limited XmAb541 exposure due to the frequency of dose interruptions and dose reductions at those higher dose levels. Hearing impairment is potentially on-target for CLDN6, which is expressed on cochlear hair cells.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safety profile of XmAb541 monotherapy at the putative RP3D supports further clinical evaluation, including future outpatient administration. Cytokine release syndrome (CRS) has been low grade and no cases of Grade ≥3 CRS were reported at any dose level. At the putative RP3D, Grade 1 CRS was reported in approximately 14% of patients, and Grade 2 CRS was reported in approximately 17%. No other clinically significant safety signals have been observed. Based on monotherapy data, in July 2026 the U.S. Food and Drug Administration granted Fast Track designation to XmAb541 for the treatment of patients with germ cell tumors who have relapsed following two or more lines of platinum therapy or were refractory to prior platinum therapy.</w:t>
      </w:r>
    </w:p>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Autoimmune Disease Programs</w:t>
      </w:r>
    </w:p>
    <w:p>
      <w:pPr>
        <w:pStyle w:val="TextBody"/>
        <w:bidi w:val="0"/>
        <w:spacing w:lineRule="auto" w:line="288" w:before="120" w:after="283"/>
        <w:ind w:left="0" w:right="0" w:firstLine="540"/>
        <w:jc w:val="both"/>
        <w:rPr/>
      </w:pPr>
      <w:r>
        <w:rPr>
          <w:rFonts w:ascii="Times New Roman;serif" w:hAnsi="Times New Roman;serif"/>
          <w:b/>
          <w:i/>
          <w:color w:val="000000"/>
          <w:sz w:val="20"/>
        </w:rPr>
        <w:t xml:space="preserve">XmAb942 (Xtend TL1A): </w:t>
      </w:r>
      <w:r>
        <w:rPr>
          <w:rFonts w:ascii="Times New Roman;serif" w:hAnsi="Times New Roman;serif"/>
          <w:b w:val="false"/>
          <w:color w:val="000000"/>
          <w:sz w:val="20"/>
        </w:rPr>
        <w:t>XmAb942 is a high-potency, extended half-life, investigational anti-TL1A antibody in clinical development for patients with inflammatory bowel disease (IBD), such as ulcerative colitis (UC) and Crohn’s disease (CD). The first generation of anti-TL1A antibodies, designed to block the interaction between the DR3 receptor and its ligand TL1A, have reduced disease activity in patients with UC and CD in multiple clinical studies. We announced final results from a Phase 1 dose-escalation study in healthy participants at Digestive Disease Week (DDW) in May 2026. The results indicate that XmAb942 was well tolerated. Pharmacokinetic analysis of the single dose cohorts estimated a human half-life of 74.1 days, which supports a 12-week dosing interval during maintenance treatment. We initiated a Phase 2b study of XmAb942 in UC, the XENITH-UC Study, in the third quarter of 2025. XENITH-UC is a randomized, double-blind, placebo-controlled trial in patients with moderate-to-severe UC, whose disease has progressed after at least one conventional or advanced therapy.</w:t>
      </w:r>
    </w:p>
    <w:p>
      <w:pPr>
        <w:pStyle w:val="TextBody"/>
        <w:bidi w:val="0"/>
        <w:spacing w:lineRule="auto" w:line="288" w:before="120" w:after="283"/>
        <w:ind w:left="0" w:right="0" w:firstLine="540"/>
        <w:jc w:val="both"/>
        <w:rPr/>
      </w:pPr>
      <w:r>
        <w:rPr>
          <w:rFonts w:ascii="Times New Roman;serif" w:hAnsi="Times New Roman;serif"/>
          <w:b/>
          <w:i/>
          <w:color w:val="000000"/>
          <w:sz w:val="20"/>
        </w:rPr>
        <w:t xml:space="preserve">XmAb412 (TL1A x IL-23p19): </w:t>
      </w:r>
      <w:r>
        <w:rPr>
          <w:rFonts w:ascii="Times New Roman;serif" w:hAnsi="Times New Roman;serif"/>
          <w:b w:val="false"/>
          <w:color w:val="000000"/>
          <w:sz w:val="20"/>
        </w:rPr>
        <w:t>XmAb412 is a novel bispecific antibody using the XenLock™ platform for dual targeting of inflammatory pathways in autoimmune and inflammatory disease. We presented preclinical characterization of XmAb412 at DDW in May 2026. XmAb412 robustly suppresses both TL1A and IL-23 inflammatory pathways and is predicted from preclinical pharmacokinetic data to have a human half-life between 60 and 70 days. XmAb412 supports high-concentration, low viscosity and citrate-free formulation suitable for subcutaneous dosing. We initiated a first-in-human study of XmAb412 in the third quarter of 2026.</w:t>
      </w:r>
    </w:p>
    <w:p>
      <w:pPr>
        <w:pStyle w:val="TextBody"/>
        <w:bidi w:val="0"/>
        <w:spacing w:lineRule="auto" w:line="288" w:before="120" w:after="283"/>
        <w:ind w:left="0" w:right="0" w:firstLine="540"/>
        <w:jc w:val="both"/>
        <w:rPr/>
      </w:pPr>
      <w:r>
        <w:rPr>
          <w:rFonts w:ascii="Times New Roman;serif" w:hAnsi="Times New Roman;serif"/>
          <w:b/>
          <w:i/>
          <w:color w:val="000000"/>
          <w:sz w:val="20"/>
        </w:rPr>
        <w:t xml:space="preserve">Plamotamab (CD20 x CD3): </w:t>
      </w:r>
      <w:r>
        <w:rPr>
          <w:rFonts w:ascii="Times New Roman;serif" w:hAnsi="Times New Roman;serif"/>
          <w:b w:val="false"/>
          <w:color w:val="000000"/>
          <w:sz w:val="20"/>
        </w:rPr>
        <w:t>Plamotamab is a B-cell depleting bispecific T-cell engager that targets CD20, a target receptor on B cells. Based on clinical outcomes from a prior Phase 1 study in hematologic cancers, significant B-cell depletion, and the emergent biology supportive of B-cell targeted T-cell engagers for the treatment of patients with autoimmune diseases, we are evaluating plamotamab in a Phase 1b study for patients with rheumatoid arthritis (RA) who have progressed through prior standard of care treatment.</w:t>
      </w:r>
    </w:p>
    <w:p>
      <w:pPr>
        <w:pStyle w:val="TextBody"/>
        <w:bidi w:val="0"/>
        <w:spacing w:lineRule="auto" w:line="288" w:before="120" w:after="283"/>
        <w:ind w:left="0" w:right="0" w:firstLine="540"/>
        <w:jc w:val="both"/>
        <w:rPr/>
      </w:pPr>
      <w:r>
        <w:rPr>
          <w:rFonts w:ascii="Times New Roman;serif" w:hAnsi="Times New Roman;serif"/>
          <w:b/>
          <w:i/>
          <w:color w:val="000000"/>
          <w:sz w:val="20"/>
        </w:rPr>
        <w:t xml:space="preserve">XmAb657 (CD19 x CD3): </w:t>
      </w:r>
      <w:r>
        <w:rPr>
          <w:rFonts w:ascii="Times New Roman;serif" w:hAnsi="Times New Roman;serif"/>
          <w:b w:val="false"/>
          <w:color w:val="000000"/>
          <w:sz w:val="20"/>
        </w:rPr>
        <w:t xml:space="preserve">XmAb657 is a potent, potentially long-acting CD19 x CD3 bispecific antibody, utilizing the XmAb 2+1 bispecific antibody format and Xtend Fc technology. In non-human primate studies, a single dose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609bb953f26a4cd58095f8c6d091a7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XmAb657 deeply reduced B cells by over 99.98% in the peripheral compartment, bone marrow and lymph nodes, which was sustained for at least 42 days. Half-life in non-human primates was estimated to be 15 days, which indicates a potential for durable B-cell depletion in human clinical studies. XmAb657 was well tolerated preclinically, with no clinical signs of cytokine release syndrome. XmAb657 is in development for patients with idiopathic inflammatory myopathies (IIM), systemic sclerosis (SSc) and Sjögren's disease. We are conducting a first-in-human, Phase 1 study to evaluate XmAb657 in healthy volunteers and patients with IIM, SSc and Sjögren's disease.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Collaborations, Partnerships and Licensing Arrangements for Approved or Authorized Medicines and Clinical-Stage Programs Engineered with XmAb Fc Domains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 key part of our business strategy is to leverage our protein engineering capabilities, XmAb Fc domains and drug candidates with partnerships, collaborations and licenses. Through these arrangements we generate revenues in the form of upfront payments, milestone payments and royalties. For partnerships for our drug candidates, we aim to retain a major economic interest in the form of keeping major geographic commercial rights; profit-sharing; co-development options; and the right to conduct studies with drug candidates developed in the collaboration. The types of arrangements that we have entered into with partners include product licenses, novel bispecific antibody collaborations, technology licensing agreements and strategic collaborations.</w:t>
      </w:r>
    </w:p>
    <w:p>
      <w:pPr>
        <w:pStyle w:val="TextBody"/>
        <w:bidi w:val="0"/>
        <w:spacing w:lineRule="auto" w:line="288" w:before="18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Product Licenses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Product licenses are arrangements in which we have internally developed drug candidates and, based on a strategic review, licensed partial or full rights to third parties to continue development and potential commercialization. We seek partners that can provide infrastructure and resources to successfully develop our drug candidates, have a track record of successfully developing and commercializing medicines, or have a portfolio of development-stage candidates and commercialized medicines that could potentially be developed in rational combinations with our drug candidates.</w:t>
      </w:r>
    </w:p>
    <w:p>
      <w:pPr>
        <w:pStyle w:val="TextBody"/>
        <w:bidi w:val="0"/>
        <w:spacing w:lineRule="auto" w:line="288" w:before="120" w:after="283"/>
        <w:ind w:left="0" w:right="0" w:firstLine="540"/>
        <w:jc w:val="both"/>
        <w:rPr/>
      </w:pPr>
      <w:r>
        <w:rPr>
          <w:rFonts w:ascii="Times New Roman;serif" w:hAnsi="Times New Roman;serif"/>
          <w:b/>
          <w:i/>
          <w:color w:val="000000"/>
          <w:sz w:val="20"/>
        </w:rPr>
        <w:t>Incyte:</w:t>
      </w:r>
      <w:r>
        <w:rPr>
          <w:color w:val="000000"/>
        </w:rPr>
        <w:t xml:space="preserve"> </w:t>
      </w:r>
      <w:r>
        <w:rPr>
          <w:rFonts w:ascii="Times New Roman;serif" w:hAnsi="Times New Roman;serif"/>
          <w:b w:val="false"/>
          <w:color w:val="000000"/>
          <w:sz w:val="20"/>
        </w:rPr>
        <w:t>The FDA approved Monjuvi® (tafasitamab-cxix) under accelerated approval in July 2020. Monjuvi is a CD19-directed cytolytic antibody containing an XmAb Fc domain for improved cytotoxic potency and indicated in combination with lenalidomide for the treatment of adult patients with relapsed or refractory diffuse large B-cell lymphoma (DLBCL), including DLBCL arising from low grade lymphoma, and who are not eligible for autologous stem cell transplant (ASCT). This indication is approved under accelerated approval based on overall response rate. Continued approval for this indication may be contingent upon verification and description of clinical benefit in a confirmatory trial(s). In December 2024, Incyte announced positive full results from the pivotal study of tafasitamab in combination with lenalidomide and rituximab in relapsed or refractory follicular lymphoma (FL) and submitted a supplemental Biologics License Application</w:t>
      </w:r>
      <w:r>
        <w:rPr>
          <w:color w:val="000000"/>
        </w:rPr>
        <w:t xml:space="preserve"> </w:t>
      </w:r>
      <w:r>
        <w:rPr>
          <w:rFonts w:ascii="Times New Roman;serif" w:hAnsi="Times New Roman;serif"/>
          <w:b w:val="false"/>
          <w:color w:val="000000"/>
          <w:sz w:val="20"/>
        </w:rPr>
        <w:t>(“sBLA”), which was accepted in February 2025. In June 2025, the FDA approved Monjuvi in combination with rituximab and lenalidomide for the treatment of adult patients with relapsed or refractory FL. Incyte has also announced positive results from a pivotal study of Monjuvi as a first-line treatment for DLBCL, and Incyte’s global regulatory submissions for Monjuvi/Minjuvi as a treatment for patients with newly diagnosed DLBCL were accepted for review in the second quarter of 2026. Tafasitamab was created and initially developed by us. Tafasitamab is marketed by Incyte under the brand name Monjuvi in the U.S. and under the brand name Minjuvi</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in Europe and Canada. Incyte has exclusive commercialization rights to tafasitamab outside the U.S. In February 2024, Incyte acquired exclusive global development and commercialization rights to tafasitamab from MorphoSys AG. Monjuvi</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Minjuvi</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are registered trademarks of Incyte.</w:t>
      </w:r>
    </w:p>
    <w:p>
      <w:pPr>
        <w:pStyle w:val="TextBody"/>
        <w:bidi w:val="0"/>
        <w:spacing w:lineRule="auto" w:line="288" w:before="120" w:after="283"/>
        <w:ind w:left="0" w:right="0" w:firstLine="540"/>
        <w:jc w:val="both"/>
        <w:rPr/>
      </w:pPr>
      <w:r>
        <w:rPr>
          <w:rFonts w:ascii="Times New Roman;serif" w:hAnsi="Times New Roman;serif"/>
          <w:b/>
          <w:i/>
          <w:color w:val="000000"/>
          <w:sz w:val="20"/>
        </w:rPr>
        <w:t>Zenas</w:t>
      </w:r>
      <w:r>
        <w:rPr>
          <w:rFonts w:ascii="Times New Roman;serif" w:hAnsi="Times New Roman;serif"/>
          <w:b w:val="false"/>
          <w:color w:val="000000"/>
          <w:sz w:val="20"/>
        </w:rPr>
        <w:t>: Zenas is advancing obexelimab, an antibody that targets CD19 with its variable domain, for the treatment of patients with autoimmune diseases. Obexelimab uses an XmAb Fc domain that was designed to inhibit the function of B cells, an important component of the immune system. Obexelimab was created and initially developed by us and was licensed to Zenas in November 2021. Zenas’ partner, Bristol Myers Squibb, holds exclusive development and commercialization rights for obexelimab in Japan, South Korea, Taiwan, Hong Kong, Singapore, and Australia.</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January 2026, Zenas announced positive results from the Phase 3 INDIGO trial of obexelimab in patients with immunoglobulin G4-related disease (IgG4-RD), in which the primary endpoint was met. Zenas announced that it submitted a BLA to the FDA for the treatment of IgG4-RD in May 2026 and anticipates submitting a Marketing Authorization Application to the European Medicines Agency in the second half of 2026. Zenas is also conducting a Phase 2 study of obexelimab in patients with systemic lupus erythematosus and has reported positive results from the Phase 2 MoonStone trial of obexelimab in patients with relapsing multiple sclerosis, in which the primary endpoint was met. As of June 30, 2026, we own 3,098,380 shares of common stock in Zenas.</w:t>
      </w:r>
    </w:p>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Technology License Agreements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enter into technology licensing agreements in which we license access to one or more of our XmAb Fc domains on a restricted basis. Our partners are responsible for all research, development and commercialization activities of the drug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609bb953f26a4cd58095f8c6d091a7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candidates. The plug-and-play nature of XmAb technologies allows us to license access to our platforms with limited or no internal research and development activities.</w:t>
      </w:r>
    </w:p>
    <w:p>
      <w:pPr>
        <w:pStyle w:val="TextBody"/>
        <w:bidi w:val="0"/>
        <w:spacing w:lineRule="auto" w:line="288" w:before="120" w:after="283"/>
        <w:ind w:left="0" w:right="0" w:firstLine="540"/>
        <w:jc w:val="both"/>
        <w:rPr/>
      </w:pPr>
      <w:r>
        <w:rPr>
          <w:rFonts w:ascii="Times New Roman;serif" w:hAnsi="Times New Roman;serif"/>
          <w:b/>
          <w:i/>
          <w:color w:val="000000"/>
          <w:sz w:val="20"/>
        </w:rPr>
        <w:t>Alexion</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Alexion’s Ultomiris® uses Xtend Fc technology to enhance the half-life of Ultomiris to allow for a longer duration of action, less frequent dosing and reduced patient burden of therapy compared to the previous generation therapy, Soliris</w:t>
      </w:r>
      <w:r>
        <w:rPr>
          <w:rFonts w:ascii="Times New Roman;serif" w:hAnsi="Times New Roman;serif"/>
          <w:b w:val="false"/>
          <w:color w:val="000000"/>
          <w:sz w:val="13"/>
        </w:rPr>
        <w:t>®</w:t>
      </w:r>
      <w:r>
        <w:rPr>
          <w:rFonts w:ascii="Times New Roman;serif" w:hAnsi="Times New Roman;serif"/>
          <w:b w:val="false"/>
          <w:color w:val="000000"/>
          <w:sz w:val="20"/>
        </w:rPr>
        <w:t>. Ultomiris has received marketing authorizations in global markets for the treatment of patients with paroxysmal nocturnal hemoglobinuria (PNH), for certain patients with atypical hemolytic uremic syndrome (aHUS), for certain patients with generalized myasthenia gravis (gMG) and for certain patients with neuromyelitis optica spectrum disorder (NMOSD). Alexion is also evaluating Ultomiris in a broad development program across additional hematology, nephrology and neurology indications. In April 2026, Alexion announced positive high-level results from a prespecified interim analysis of the I CAN Phase 3 study in adults with immunoglobulin A nephropathy (IgAN) who are at risk of disease progression and that they will seek accelerated approval in key markets. Ultomiris and Soliris are registered trademarks of Alexion Pharmaceuticals, Inc.</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eligible to receive a low-single-digit percentage royalty on net sales of Ultomiris.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Refer to Part I, Item 1, Note 2, Collaboration and Licensing Agreements and Note 13, Subsequent Events of the Notes to Consolidated Financial Statements included in this Quarterly Report on Form 10-Q for a description of the key terms of our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for the following periods indicated:</w:t>
      </w:r>
    </w:p>
    <w:tbl>
      <w:tblPr>
        <w:tblW w:w="10205" w:type="dxa"/>
        <w:jc w:val="left"/>
        <w:tblInd w:w="0" w:type="dxa"/>
        <w:tblLayout w:type="fixed"/>
        <w:tblCellMar>
          <w:top w:w="28" w:type="dxa"/>
          <w:left w:w="28" w:type="dxa"/>
          <w:bottom w:w="28" w:type="dxa"/>
          <w:right w:w="28" w:type="dxa"/>
        </w:tblCellMar>
      </w:tblPr>
      <w:tblGrid>
        <w:gridCol w:w="1120"/>
        <w:gridCol w:w="757"/>
        <w:gridCol w:w="763"/>
        <w:gridCol w:w="196"/>
        <w:gridCol w:w="681"/>
        <w:gridCol w:w="109"/>
        <w:gridCol w:w="109"/>
        <w:gridCol w:w="109"/>
        <w:gridCol w:w="109"/>
        <w:gridCol w:w="196"/>
        <w:gridCol w:w="681"/>
        <w:gridCol w:w="109"/>
        <w:gridCol w:w="109"/>
        <w:gridCol w:w="109"/>
        <w:gridCol w:w="109"/>
        <w:gridCol w:w="196"/>
        <w:gridCol w:w="556"/>
        <w:gridCol w:w="109"/>
        <w:gridCol w:w="109"/>
        <w:gridCol w:w="109"/>
        <w:gridCol w:w="109"/>
        <w:gridCol w:w="196"/>
        <w:gridCol w:w="771"/>
        <w:gridCol w:w="109"/>
        <w:gridCol w:w="109"/>
        <w:gridCol w:w="109"/>
        <w:gridCol w:w="109"/>
        <w:gridCol w:w="196"/>
        <w:gridCol w:w="681"/>
        <w:gridCol w:w="109"/>
        <w:gridCol w:w="109"/>
        <w:gridCol w:w="109"/>
        <w:gridCol w:w="109"/>
        <w:gridCol w:w="196"/>
        <w:gridCol w:w="681"/>
        <w:gridCol w:w="158"/>
      </w:tblGrid>
      <w:tr>
        <w:trPr/>
        <w:tc>
          <w:tcPr>
            <w:tcW w:w="1120"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5"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License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Milestone</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(29,500)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Royalties</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8,797 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8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(20,603)</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16,331 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8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170,667 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152,695 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17,972 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loss</w:t>
            </w:r>
          </w:p>
        </w:tc>
        <w:tc>
          <w:tcPr>
            <w:tcW w:w="8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(37,068)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(33,172)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(114,930)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(76,355)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(38,575)</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income (expense), net</w:t>
            </w:r>
            <w:r>
              <w:rPr>
                <w:rFonts w:ascii="Times New Roman;serif" w:hAnsi="Times New Roman;serif"/>
                <w:b w:val="false"/>
                <w:color w:val="000000"/>
                <w:sz w:val="12"/>
              </w:rPr>
              <w:t>(1)</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(32,640)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Loss before income tax expense (benefit) and noncontrolling interest</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(21,919)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(31,075)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(150,555)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(79,340)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(71,215)</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00"/>
        <w:ind w:left="0" w:right="0" w:firstLine="540"/>
        <w:jc w:val="both"/>
        <w:rPr>
          <w:rFonts w:ascii="Times New Roman;serif" w:hAnsi="Times New Roman;serif"/>
          <w:b w:val="false"/>
          <w:i/>
          <w:color w:val="000000"/>
          <w:sz w:val="16"/>
        </w:rPr>
      </w:pPr>
      <w:r>
        <w:rPr>
          <w:rFonts w:ascii="Times New Roman;serif" w:hAnsi="Times New Roman;serif"/>
          <w:b w:val="false"/>
          <w:i/>
          <w:color w:val="000000"/>
          <w:sz w:val="16"/>
        </w:rPr>
        <w:t xml:space="preserve">(1) Other income (expense), net, included interest income, interest expense, gain/loss on marketable equity securities and asset impairment charges.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Total revenue increased by $7.6 million for the three months ended June 30, 2026 and decreased by $20.6 million for the six months ended June 30, 2026, compared to the corresponding periods in 2025. The change was primarily driven by the revenue recognition associated with Alexion and Incyte license agreements as discussed below. See Note 2, Collaboration and Licensing Agreements of the Notes to Consolidated Financial Statements of Part I, “Item 1. Financial Statements” for more information on revenue recognized under the collaboration and license agreements.</w:t>
      </w:r>
    </w:p>
    <w:p>
      <w:pPr>
        <w:pStyle w:val="TextBody"/>
        <w:bidi w:val="0"/>
        <w:spacing w:lineRule="auto" w:line="288" w:before="180" w:after="283"/>
        <w:ind w:left="0" w:right="0" w:firstLine="540"/>
        <w:jc w:val="both"/>
        <w:rPr/>
      </w:pPr>
      <w:r>
        <w:rPr>
          <w:rFonts w:ascii="Times New Roman;serif" w:hAnsi="Times New Roman;serif"/>
          <w:b/>
          <w:color w:val="000000"/>
          <w:sz w:val="20"/>
        </w:rPr>
        <w:t xml:space="preserve">Alexion: </w:t>
      </w:r>
      <w:r>
        <w:rPr>
          <w:rFonts w:ascii="Times New Roman;serif" w:hAnsi="Times New Roman;serif"/>
          <w:b w:val="false"/>
          <w:color w:val="000000"/>
          <w:sz w:val="20"/>
        </w:rPr>
        <w:t>In January 2013, we entered into an Option and License Agreement (the “Alexion Agreement”) with Alexion. Under the terms of the Alexion Agreement, we granted to Alexion an exclusive research license, with limited sublicensing rights, to make and use our Xtend technology to evaluate and advance compounds. Alexion exercised its rights to one target program, ALXN1210, which is now marketed as Ultomiris®.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9, 2025, a new patent related to the Xtend™ Fc domain for antibodies targeting C5 was announced, extending the expected royalty term for Ultomiris® net sales into December 2028 in the United States. On March 4, 2026, Alexion informed us that it had taken the position that it did not owe additional royalties for U.S. sales of Ultomiris and did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609bb953f26a4cd58095f8c6d091a7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not intend to make future payments for sales in the U.S. under the parties’ agreement. We disputed this position and, subsequent to June 30, 2026, entered into a settlement agreement with Alexion. See Note 13 for additional information.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first quarter of 2026, we evaluated the effect of Alexion’s notice, including the variable consideration constraint and the sales</w:t>
        <w:noBreakHyphen/>
        <w:t xml:space="preserve"> and usage</w:t>
        <w:noBreakHyphen/>
        <w:t>based royalty guidance applicable to licenses of intellectual property. We concluded that royalties on disputed U.S. sales should be constrained to zero until the uncertainty was resolved. Accordingly, we recorded a reduction of $6.6 million to royalty revenue recorded in 2025 and a corresponding reduction to the related receivable in the first quarter of 2026. There was no cash impact from this entry in the period. Recognition of undisputed ex</w:t>
        <w:noBreakHyphen/>
        <w:t>U.S. royalties was unaffected and continues in accordance with ASC Topic 606’s sales</w:t>
        <w:noBreakHyphen/>
        <w:t xml:space="preserve"> and usage</w:t>
        <w:noBreakHyphen/>
        <w:t xml:space="preserve">based royalty guidance.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July 29, 2026, we entered into a settlement agreement with Alexion, which resolved the uncertainty over the variable consideration earned related to U.S. Ultomiris royalties. As a result, we recognized $27.6 million of royalty revenue during the three and six months ended June 30, 2026, related to our royalty rights for U.S. Ultomiris sales from the period of dispute through June 30, 2026.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Alexion Agreement, we recognized $37.3 million and $16.8 million of royalty revenue during the three months ended June 30, 2026 and 2025, respectively, and $38.8 million and $32.3 million during the six months ended June 30, 2026 and 2025, respectively.</w:t>
      </w:r>
    </w:p>
    <w:p>
      <w:pPr>
        <w:pStyle w:val="TextBody"/>
        <w:bidi w:val="0"/>
        <w:spacing w:lineRule="auto" w:line="288" w:before="180" w:after="283"/>
        <w:ind w:left="0" w:right="0" w:firstLine="540"/>
        <w:jc w:val="both"/>
        <w:rPr/>
      </w:pPr>
      <w:r>
        <w:rPr>
          <w:rFonts w:ascii="Times New Roman;serif" w:hAnsi="Times New Roman;serif"/>
          <w:b/>
          <w:color w:val="000000"/>
          <w:sz w:val="20"/>
        </w:rPr>
        <w:t xml:space="preserve">Incyte: </w:t>
      </w:r>
      <w:r>
        <w:rPr>
          <w:rFonts w:ascii="Times New Roman;serif" w:hAnsi="Times New Roman;serif"/>
          <w:b w:val="false"/>
          <w:color w:val="000000"/>
          <w:sz w:val="20"/>
        </w:rPr>
        <w:t xml:space="preserve">In June 2010, we entered into a Collaboration and License Agreement with MorphoSys AG, which was subsequently amended in 2012, 2020 and 2024 (as amended, the “MorphoSys Agreement”). The MorphoSys Agreement provides MorphoSys AG with an exclusive worldwide license to our patents and know-how to research, develop, and commercialize our XmAb5574 product candidate (subsequently renamed MOR208 and tafasitamab) with the right to sublicense under certain conditions. If certain developmental, regulatory and sales milestones are achieved, we are eligible to receive future milestone payments and royalties. In February 2024, Incyte assumed all of MorphoSys AG’s right, title and interest under the MorphoSys Agreement.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February 2025, the FDA accepted Incyte’s submission of a supplemental biologics license application, triggering a $12.5 million milestone payment to us, and approved the application in June 2025, triggering an additional $25.0 million milestone payment to us. Both milestone payments were received by us in 2025. In addition, Incyte dosed two patients in a Phase 2 study on December 29, 2025, one patient with immune thrombocytopenia and one patient with autoimmune hemolytic anemia, triggering a $4.0 million milestone payment to us, which was recognized as revenue in 2025 and collected in January 2026.</w:t>
      </w:r>
    </w:p>
    <w:p>
      <w:pPr>
        <w:pStyle w:val="TextBody"/>
        <w:bidi w:val="0"/>
        <w:spacing w:lineRule="auto" w:line="288" w:before="120" w:after="283"/>
        <w:ind w:left="0" w:right="0" w:firstLine="540"/>
        <w:jc w:val="both"/>
        <w:rPr/>
      </w:pPr>
      <w:r>
        <w:rPr>
          <w:rFonts w:ascii="Times New Roman;serif" w:hAnsi="Times New Roman;serif"/>
          <w:b w:val="false"/>
          <w:color w:val="000000"/>
          <w:sz w:val="20"/>
        </w:rPr>
        <w:t>During the second quarter of 2026, cumulative royalties payable to OMERS reached the $29.3 million maximum under the Monjuvi Royalty Sale Agreement. Under the MorphoSys Agreement, we recognized royalty revenue of $3.9 million and $6.8 million during the three and six months ended June 30, 2026, respectively, consisting of $3.1 million</w:t>
      </w:r>
      <w:r>
        <w:rPr>
          <w:color w:val="000000"/>
        </w:rPr>
        <w:t xml:space="preserve"> </w:t>
      </w:r>
      <w:r>
        <w:rPr>
          <w:rFonts w:ascii="Times New Roman;serif" w:hAnsi="Times New Roman;serif"/>
          <w:b w:val="false"/>
          <w:color w:val="000000"/>
          <w:sz w:val="20"/>
        </w:rPr>
        <w:t>of non-cash royalty revenue and $0.8 million of royalties payable directly to us, compared to non-cash royalty revenue of $1.8 million and $4.5 million during the three and six months ended June 30, 2025, respectively.</w:t>
      </w:r>
    </w:p>
    <w:p>
      <w:pPr>
        <w:pStyle w:val="TextBody"/>
        <w:bidi w:val="0"/>
        <w:spacing w:lineRule="auto" w:line="288" w:before="180" w:after="283"/>
        <w:ind w:left="0" w:right="0" w:firstLine="540"/>
        <w:jc w:val="both"/>
        <w:rPr/>
      </w:pPr>
      <w:r>
        <w:rPr>
          <w:rFonts w:ascii="Times New Roman;serif" w:hAnsi="Times New Roman;serif"/>
          <w:b/>
          <w:color w:val="000000"/>
          <w:sz w:val="20"/>
        </w:rPr>
        <w:t xml:space="preserve">Zenas: </w:t>
      </w:r>
      <w:r>
        <w:rPr>
          <w:rFonts w:ascii="Times New Roman;serif" w:hAnsi="Times New Roman;serif"/>
          <w:b w:val="false"/>
          <w:color w:val="000000"/>
          <w:sz w:val="20"/>
        </w:rPr>
        <w:t xml:space="preserve">In November 2020, we entered into a License Agreement (the “Zenas Agreement”) with Zenas, pursuant to which we granted Zenas exclusive worldwide rights to develop and commercialize three preclinical-stage Fc-engineered drug candidates. In November 2021, we entered into a second license agreement (the “Second Zenas Agreement”), pursuant to which we granted Zenas exclusive worldwide rights to develop and commercialize obexelimab (XmAb5871). We satisfied our performance obligations under the Zenas agreements in 2021.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May 2026, Zenas submitted a BLA to the FDA for obexelimab in IgG4-RD, which triggered a $10.0 million milestone payment to us under the Zenas Agreement that we received during the second quarter of 2026.</w:t>
      </w:r>
    </w:p>
    <w:p>
      <w:pPr>
        <w:pStyle w:val="TextBody"/>
        <w:bidi w:val="0"/>
        <w:spacing w:lineRule="auto" w:line="288" w:before="180" w:after="283"/>
        <w:ind w:left="0" w:right="0" w:firstLine="540"/>
        <w:jc w:val="both"/>
        <w:rPr/>
      </w:pPr>
      <w:r>
        <w:rPr>
          <w:rFonts w:ascii="Times New Roman;serif" w:hAnsi="Times New Roman;serif"/>
          <w:b/>
          <w:color w:val="000000"/>
          <w:sz w:val="20"/>
        </w:rPr>
        <w:t xml:space="preserve">Vir Bio: </w:t>
      </w:r>
      <w:r>
        <w:rPr>
          <w:rFonts w:ascii="Times New Roman;serif" w:hAnsi="Times New Roman;serif"/>
          <w:b w:val="false"/>
          <w:color w:val="000000"/>
          <w:sz w:val="20"/>
        </w:rPr>
        <w:t xml:space="preserve">In 2019, we entered into a Patent License Agreement (the “Vir Bio Agreement”) with Vir Bio, granting a non-exclusive license to its Xtend technology for up to two targets, including tobevibart. In March 2025, Vir Bio initiated a Phase 3 study for tobevibart, triggering a $2.0 million milestone payment to us, which was paid in the second quarter of 2025.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recognized nominal amounts of royalty revenue for the three and six months ended June 30, 2026 and 2025.</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Research and Development (R&amp;D) Expenses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R&amp;D expenses include both external and internal costs related to discovering and developing product candidates and new technologies. External costs primarily consist of preclinical studies, clinical trials, and payments to CROs and CMOs for services such as trial management, manufacturing, toxicology studies, and drug formulation, while internal costs include personnel expenses, supplies, and allocated overhead like facilities. These expenses can fluctuate based on factors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609bb953f26a4cd58095f8c6d091a7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such as trial stage, patient enrollment, and program activity, and are expected to increase as programs advance. Although R&amp;D activities are largely managed internally, many execution components are outsourced, with external costs tracked by program (except in early discovery stages), while internal costs are managed on an aggregate basis.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our research and development expenses for the following periods indicated:</w:t>
      </w:r>
    </w:p>
    <w:tbl>
      <w:tblPr>
        <w:tblW w:w="8903" w:type="dxa"/>
        <w:jc w:val="left"/>
        <w:tblInd w:w="0" w:type="dxa"/>
        <w:tblLayout w:type="fixed"/>
        <w:tblCellMar>
          <w:top w:w="28" w:type="dxa"/>
          <w:left w:w="28" w:type="dxa"/>
          <w:bottom w:w="28" w:type="dxa"/>
          <w:right w:w="28" w:type="dxa"/>
        </w:tblCellMar>
      </w:tblPr>
      <w:tblGrid>
        <w:gridCol w:w="1329"/>
        <w:gridCol w:w="1171"/>
        <w:gridCol w:w="1175"/>
        <w:gridCol w:w="196"/>
        <w:gridCol w:w="646"/>
        <w:gridCol w:w="109"/>
        <w:gridCol w:w="109"/>
        <w:gridCol w:w="109"/>
        <w:gridCol w:w="109"/>
        <w:gridCol w:w="196"/>
        <w:gridCol w:w="646"/>
        <w:gridCol w:w="109"/>
        <w:gridCol w:w="109"/>
        <w:gridCol w:w="109"/>
        <w:gridCol w:w="109"/>
        <w:gridCol w:w="109"/>
        <w:gridCol w:w="109"/>
        <w:gridCol w:w="196"/>
        <w:gridCol w:w="736"/>
        <w:gridCol w:w="109"/>
        <w:gridCol w:w="109"/>
        <w:gridCol w:w="109"/>
        <w:gridCol w:w="109"/>
        <w:gridCol w:w="196"/>
        <w:gridCol w:w="736"/>
        <w:gridCol w:w="154"/>
      </w:tblGrid>
      <w:tr>
        <w:trPr/>
        <w:tc>
          <w:tcPr>
            <w:tcW w:w="132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413" w:type="dxa"/>
            <w:gridSpan w:val="6"/>
            <w:tcBorders/>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5"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413" w:type="dxa"/>
            <w:gridSpan w:val="6"/>
            <w:tcBorders/>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External R&amp;D expenses per program:</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XmAb942 (Xtend TL1A)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XmAb819 (ENPP3 x CD3)</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XmAb412 (TL1A x IL-23p19)</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XmAb541 (CLDN6 x CD3)</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XmAb657 (CD19 x CD3)</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Plamotamab (CD20 x CD3)</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XmAb808 (B7-H3 x CD28)</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programs including research and early stage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Wind down costs of terminated programs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external R&amp;D expenses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58,825 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Internal research and development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based compensation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R&amp;D expenses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71,905 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61,665 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136,574 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120,243 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R&amp;D expenses increased by $10.2 million and $16.3 million for the three and six months ended June 30, 2026, respectively, compared to the same period in 2025. The increase was primarily driven by higher external and internal costs incurred associated with the programs listed above, which are aligned with our strategic research and development priorities, partially offset by lower stock-based compensation expense in the current period. R&amp;D expenses may fluctuate from period to period depending on the timing, progress, and level of activity of each program.</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General and Administrative Expenses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General and administrative expenses consist of salaries, stock compensation, professional services related to legal, audit, consulting, patent filings, business insurance and technology expenses, facilities, and depreciation and amortization. General and administrative expenses</w:t>
      </w:r>
      <w:r>
        <w:rPr>
          <w:color w:val="EE2724"/>
        </w:rPr>
        <w:t xml:space="preserve"> </w:t>
      </w:r>
      <w:r>
        <w:rPr>
          <w:rFonts w:ascii="Times New Roman;serif" w:hAnsi="Times New Roman;serif"/>
          <w:b w:val="false"/>
          <w:color w:val="000000"/>
          <w:sz w:val="20"/>
        </w:rPr>
        <w:t xml:space="preserve">for the three and six months ended June 30, 2026 remained relatively consistent with the same period in 2025.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Other Income (Expense), Net</w:t>
      </w:r>
    </w:p>
    <w:p>
      <w:pPr>
        <w:pStyle w:val="TextBody"/>
        <w:bidi w:val="0"/>
        <w:spacing w:lineRule="auto" w:line="288" w:before="120" w:after="283"/>
        <w:ind w:left="0" w:right="0" w:firstLine="540"/>
        <w:jc w:val="both"/>
        <w:rPr/>
      </w:pPr>
      <w:r>
        <w:rPr>
          <w:rFonts w:ascii="Times New Roman;serif" w:hAnsi="Times New Roman;serif"/>
          <w:b w:val="false"/>
          <w:color w:val="000000"/>
          <w:sz w:val="20"/>
        </w:rPr>
        <w:t>Other income (expense), net primarily consists of interest income and expense, gains and losses on marketable equity securities, and asset impairment charges. Other income increased by $13.1 million and other expense increased by $32.6 million</w:t>
      </w:r>
      <w:r>
        <w:rPr>
          <w:color w:val="000000"/>
        </w:rPr>
        <w:t xml:space="preserve"> </w:t>
      </w:r>
      <w:r>
        <w:rPr>
          <w:rFonts w:ascii="Times New Roman;serif" w:hAnsi="Times New Roman;serif"/>
          <w:b w:val="false"/>
          <w:color w:val="000000"/>
          <w:sz w:val="20"/>
        </w:rPr>
        <w:t xml:space="preserve">for the three and six months ended June 30, 2026, respectively, compared to the same period in 2025.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changes were primarily driven by unrealized gains and losses recognized on our investment in Zenas.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historically financed our operations through payments received from product development partnerships and licensing arrangements, private placements of equity securities, and public offerings of common stock. Research and development activities have required significant capital investment since our inception and are expected to continue to require significant cash expenditure as our pipeline continues to expand.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25, 2026, we filed an automatic universal shelf registration statement on Form S-3 (File No. 333-270030) as a well-known seasoned issuer as defined in Rule 405 under the Securities Act of 1933, as amended, which became effective upon filing (the “Shelf Registration Statement”). The Shelf Registration Statement allows us to offer an indeterminate amount of securities, including equity securities, debt securities, warrants, rights, units and depositary shares, from time to time as described therein. The specific terms of any offering under the Shelf Registration Statement will be established at the time of such offering. The Shelf Registration Statement will expire on February 25, 2029.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609bb953f26a4cd58095f8c6d091a7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July 29, 2026, we entered into Settlement Agreement with Alexion with respect to a commercial dispute related to U.S. royalties on Ultomiris. Pursuant to the Settlement Agreement, we will receive an aggregate of $105.0 million from Alexion, payable in two equal installments of $52.5 million: the first payment is anticipated to be received in August 2026, and the second payment is due following the one-year anniversary of the date of the Settlement Agreement. Following the settlement, Alexion has no further obligation to pay royalties on U.S. sales of Ultomiris. The Settlement Agreement does not affect the Company’s right to receive royalties on ex-U.S. sales of Ultomiris under the existing terms of the Alexion Agreement, as amended.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$486.4 million of cash, cash equivalents, and marketable debt securities compared to $610.8 million as of December 31, 2025.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expect to continue receiving payments from our collaborators for potential additional milestone, opt-ins, contingent payments, royalties, and research and development services rendered, if any. The receipt of future milestone and contingent payments is dependent on the achievement of certain research and development milestones by us or our partners and, as such, remains uncertain at this time.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believe our current financial resources are sufficient to fund our operations through at least the next twelve months from the date of the issuance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Funding Requirements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not generated any revenue from the sale of products developed by us to date and do not expect to do so until we obtain regulatory approval of and commercialize one or more of our internal product development candidates. As we are currently in the clinical stage of development, it will be some time before we expect to achieve this, and it is uncertain that we will ever commercialize one or more of our internal product development candidates. We expect that we will continue to increase our operating expenses in connection with ongoing and additional clinical and preclinical development of product candidates in our pipeline and candidates that we are co-developing with our partners.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Although it is difficult to predict our funding requirements, based upon our current operating plan, we expect that our existing cash, cash equivalents, marketable securities and certain potential milestone payments will fund our operating expenses and capital expenditure requirements through 2028. We have based these estimates on assumptions that may prove to be wrong which would cause us to use our capital resources sooner than we currently expect.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primary sources and uses of cash for each of the periods presented below:</w:t>
      </w:r>
    </w:p>
    <w:tbl>
      <w:tblPr>
        <w:tblW w:w="9207" w:type="dxa"/>
        <w:jc w:val="left"/>
        <w:tblInd w:w="0" w:type="dxa"/>
        <w:tblLayout w:type="fixed"/>
        <w:tblCellMar>
          <w:top w:w="28" w:type="dxa"/>
          <w:left w:w="28" w:type="dxa"/>
          <w:bottom w:w="28" w:type="dxa"/>
          <w:right w:w="28" w:type="dxa"/>
        </w:tblCellMar>
      </w:tblPr>
      <w:tblGrid>
        <w:gridCol w:w="1931"/>
        <w:gridCol w:w="1694"/>
        <w:gridCol w:w="1715"/>
        <w:gridCol w:w="196"/>
        <w:gridCol w:w="811"/>
        <w:gridCol w:w="109"/>
        <w:gridCol w:w="109"/>
        <w:gridCol w:w="109"/>
        <w:gridCol w:w="109"/>
        <w:gridCol w:w="196"/>
        <w:gridCol w:w="721"/>
        <w:gridCol w:w="109"/>
        <w:gridCol w:w="109"/>
        <w:gridCol w:w="109"/>
        <w:gridCol w:w="109"/>
        <w:gridCol w:w="196"/>
        <w:gridCol w:w="721"/>
        <w:gridCol w:w="154"/>
      </w:tblGrid>
      <w:tr>
        <w:trPr/>
        <w:tc>
          <w:tcPr>
            <w:tcW w:w="1931"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 from:</w:t>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activities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(decrease) increase in cash, cash equivalents, and restricted cash</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(12,974)</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cash flow used in operating activities was $123.3 million, which was primarily due to the ongoing expenses related to our research and development programs and general and administrative expenses. The change was primarily driven by lower milestone receipts in 2026, as the prior year period included higher milestone collections, as well as higher operating expenditures in 2026 related to ongoing business activities. Cash provided by investing activities amounted to $111.8 million, primarily reflecting proceeds of $185.6 million from sales and maturities of marketable securities, offset by purchases of marketable securities totaling $72.7 million. Cash provided by financing activities of $2.0 million was primarily related to cash received from stock option exercises and ESPP purchases.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cash flow used in operating activities was $52.6 million, which was primarily due to the ongoing expenses related to our research and development programs and general and administrative expenses. Cash provided by investing activities amounted to $54.1 million, primarily reflecting proceeds of $232.8 million from sales and maturities of marketable securities, offset by purchases of marketable securities totaling $176.8 million. Cash provided by financing activities of $1.9 million was primarily related to cash received from stock option exercises, offset by payment to acquire noncontrolling interest.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609bb953f26a4cd58095f8c6d091a7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Contractual Obligations and Commitments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were no material changes outside of the ordinary course of business to our specific contractual obligations during the three and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Critical Accounting Policies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has been no material change in the Company’s critical accounting policies that the Company disclosed in Note 1, Organization and Summary of Significant Accounting Policies of the Notes to Consolidated Financial Statements included in Part II, Item 8 of its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has been no material change in the Company’s exposure to market risk from that described in Part II, “Item 7A. Quantitative and Qualitative Disclosures About Market Risk” of its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Item 4. Controls and Procedures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management, with the participation of its Chief Executive Officer and Chief Financial Officer (its principal executive officer and principal financial officer, respectively), evaluated the effectiveness of the Company’s disclosure controls and procedures (as defined in Rules 13a-15(e) and 15d-15(e) under the Securities Exchange Act of 1934, as amended), as of June 30, 2026, the end of the period covered by this Quarterly Report on Form 10-Q.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Disclosure controls and procedures include, without limitation, controls and procedures designed to ensure that information required to be disclosed by the Company in the reports that it files or submits under the Exchange Act is recorded, processed, summarized, and reported within the time periods specified in the SEC’s rules and forms, and that such information is accumulated and communicated to management, including the Company’s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Based on such evaluation, the Company’s Chief Executive Officer and Chief Financial Officer concluded that, as of June 30, 2026, the Company’s disclosure controls and procedures were effective at the reasonable assurance level.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20" w:after="283"/>
        <w:ind w:left="0" w:right="0" w:firstLine="540"/>
        <w:jc w:val="both"/>
        <w:rPr/>
      </w:pPr>
      <w:r>
        <w:rPr>
          <w:rFonts w:ascii="Times New Roman;serif" w:hAnsi="Times New Roman;serif"/>
          <w:b w:val="false"/>
          <w:color w:val="141412"/>
          <w:sz w:val="20"/>
          <w:shd w:fill="FFFFFF" w:val="clear"/>
        </w:rPr>
        <w:t xml:space="preserve">There has been no change in the </w:t>
      </w:r>
      <w:r>
        <w:rPr>
          <w:rFonts w:ascii="Times New Roman;serif" w:hAnsi="Times New Roman;serif"/>
          <w:b w:val="false"/>
          <w:color w:val="000000"/>
          <w:sz w:val="20"/>
        </w:rPr>
        <w:t>Company’s</w:t>
      </w:r>
      <w:r>
        <w:rPr>
          <w:color w:val="141412"/>
          <w:shd w:fill="FFFFFF" w:val="clear"/>
        </w:rPr>
        <w:t xml:space="preserve"> </w:t>
      </w:r>
      <w:r>
        <w:rPr>
          <w:rFonts w:ascii="Times New Roman;serif" w:hAnsi="Times New Roman;serif"/>
          <w:b w:val="false"/>
          <w:color w:val="141412"/>
          <w:sz w:val="20"/>
          <w:shd w:fill="FFFFFF" w:val="clear"/>
        </w:rPr>
        <w:t>internal control over financial reporting during the Company’s most recent fiscal quarter that has materially affected, or is reasonably likely to materially affect, the Company’s internal control over financial reporting. The Company regularly evaluates its controls and procedures and makes improvements in the design and effectiveness of established controls and procedures and the remediation of any deficiencies which may be identified during this process.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Legal Proceedings are set forth in the Company’s financial statements in Part I, Item 1 of this Quarterly Report on Form 10-Q and are incorporated herein by reference. See Note 7 </w:t>
      </w:r>
      <w:r>
        <w:rPr>
          <w:color w:val="000000"/>
        </w:rPr>
        <w:t xml:space="preserve">— </w:t>
      </w:r>
      <w:r>
        <w:rPr>
          <w:rFonts w:ascii="Times New Roman;serif" w:hAnsi="Times New Roman;serif"/>
          <w:b w:val="false"/>
          <w:color w:val="000000"/>
          <w:sz w:val="20"/>
        </w:rPr>
        <w:t>Commitments and Contingencies of the Notes to Consolidated Financial Statements of Part I, “Item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Investing in our securities involves a high degree of risk. You should carefully consider the factors discussed in Part I, “Item 1A. Risk Factors” in our Annual Report on Form 10-K for the year ended December 31, 2025, which could materially affect our business, financial position, or future results of operations. See also “Special Note Regarding Forward-Looking Statements” included in this Quarterly Report on Form 10-Q. There have been no material changes from the risk factors identified in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609bb953f26a4cd58095f8c6d091a7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Item 2. Unregistered Sales of Equity Securities and Use of Proceeds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Item 4. Mine Safety Disclosures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Item 5. Other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270"/>
        <w:jc w:val="left"/>
        <w:rPr>
          <w:rFonts w:ascii="Times New Roman;serif" w:hAnsi="Times New Roman;serif"/>
          <w:b/>
          <w:color w:val="000000"/>
          <w:sz w:val="20"/>
        </w:rPr>
      </w:pPr>
      <w:r>
        <w:rPr>
          <w:rFonts w:ascii="Times New Roman;serif" w:hAnsi="Times New Roman;serif"/>
          <w:b/>
          <w:color w:val="000000"/>
          <w:sz w:val="20"/>
        </w:rPr>
        <w:t>(c) Rule 10b5-1 Plans</w:t>
      </w:r>
    </w:p>
    <w:p>
      <w:pPr>
        <w:pStyle w:val="TextBody"/>
        <w:bidi w:val="0"/>
        <w:spacing w:lineRule="auto" w:line="288" w:before="120" w:after="6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fiscal quarter ended June 30, 2026, no director or officer (as defined in Rule 16a-1(f) of the Securities Exchange Act of 1934, as amended) adopted or terminated a trading arrangement, including a Rule 10b5-1 trading arrangement (as defined in Item 408(a)(1)(i) of Regulation S-K) or a non-Rule 10b5-1 trading arrangement (as defined in Item 408(c) of Regulation S-K), except as set forth in the following table: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406"/>
        <w:gridCol w:w="357"/>
        <w:gridCol w:w="361"/>
        <w:gridCol w:w="441"/>
        <w:gridCol w:w="441"/>
        <w:gridCol w:w="448"/>
        <w:gridCol w:w="338"/>
        <w:gridCol w:w="338"/>
        <w:gridCol w:w="339"/>
        <w:gridCol w:w="413"/>
        <w:gridCol w:w="413"/>
        <w:gridCol w:w="414"/>
        <w:gridCol w:w="282"/>
        <w:gridCol w:w="282"/>
        <w:gridCol w:w="284"/>
        <w:gridCol w:w="1356"/>
        <w:gridCol w:w="1356"/>
        <w:gridCol w:w="1936"/>
      </w:tblGrid>
      <w:tr>
        <w:trPr/>
        <w:tc>
          <w:tcPr>
            <w:tcW w:w="40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w:t>
            </w:r>
          </w:p>
        </w:tc>
        <w:tc>
          <w:tcPr>
            <w:tcW w:w="1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w:t>
            </w:r>
          </w:p>
        </w:tc>
        <w:tc>
          <w:tcPr>
            <w:tcW w:w="10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Adoption Date</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Termination Date</w:t>
            </w:r>
          </w:p>
        </w:tc>
        <w:tc>
          <w:tcPr>
            <w:tcW w:w="84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Duration</w:t>
            </w:r>
            <w:r>
              <w:rPr>
                <w:rFonts w:ascii="Times New Roman;serif" w:hAnsi="Times New Roman;serif"/>
                <w:b/>
                <w:color w:val="000000"/>
                <w:sz w:val="10"/>
              </w:rPr>
              <w:t>(1)</w:t>
            </w:r>
          </w:p>
        </w:tc>
        <w:tc>
          <w:tcPr>
            <w:tcW w:w="46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Aggregate Number of Shares of Common Stock to be Sold Pursuant to Trading Arrangement</w:t>
            </w:r>
          </w:p>
        </w:tc>
      </w:tr>
      <w:tr>
        <w:trPr/>
        <w:tc>
          <w:tcPr>
            <w:tcW w:w="11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John R. Desjarlais</w:t>
            </w:r>
          </w:p>
        </w:tc>
        <w:tc>
          <w:tcPr>
            <w:tcW w:w="13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Chief Scientific Officer</w:t>
            </w:r>
          </w:p>
        </w:tc>
        <w:tc>
          <w:tcPr>
            <w:tcW w:w="10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6/1/2026</w:t>
            </w:r>
          </w:p>
        </w:tc>
        <w:tc>
          <w:tcPr>
            <w:tcW w:w="12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6/23/2026</w:t>
            </w:r>
          </w:p>
        </w:tc>
        <w:tc>
          <w:tcPr>
            <w:tcW w:w="84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2/12/2027</w:t>
            </w:r>
          </w:p>
        </w:tc>
        <w:tc>
          <w:tcPr>
            <w:tcW w:w="464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41,883</w:t>
            </w:r>
          </w:p>
        </w:tc>
      </w:tr>
      <w:tr>
        <w:trPr/>
        <w:tc>
          <w:tcPr>
            <w:tcW w:w="1124"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4648" w:type="dxa"/>
            <w:gridSpan w:val="3"/>
            <w:tcBorders/>
            <w:vAlign w:val="center"/>
          </w:tcPr>
          <w:p>
            <w:pPr>
              <w:pStyle w:val="TableContents"/>
              <w:bidi w:val="0"/>
              <w:spacing w:before="0" w:after="283"/>
              <w:jc w:val="left"/>
              <w:rPr>
                <w:sz w:val="4"/>
                <w:szCs w:val="4"/>
              </w:rPr>
            </w:pPr>
            <w:r>
              <w:rPr>
                <w:sz w:val="4"/>
                <w:szCs w:val="4"/>
              </w:rPr>
            </w:r>
          </w:p>
        </w:tc>
      </w:tr>
      <w:tr>
        <w:trPr/>
        <w:tc>
          <w:tcPr>
            <w:tcW w:w="1124"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4648" w:type="dxa"/>
            <w:gridSpan w:val="3"/>
            <w:tcBorders/>
            <w:vAlign w:val="center"/>
          </w:tcPr>
          <w:p>
            <w:pPr>
              <w:pStyle w:val="TableContents"/>
              <w:bidi w:val="0"/>
              <w:spacing w:before="0" w:after="283"/>
              <w:jc w:val="left"/>
              <w:rPr>
                <w:sz w:val="4"/>
                <w:szCs w:val="4"/>
              </w:rPr>
            </w:pPr>
            <w:r>
              <w:rPr>
                <w:sz w:val="4"/>
                <w:szCs w:val="4"/>
              </w:rPr>
            </w:r>
          </w:p>
        </w:tc>
      </w:tr>
      <w:tr>
        <w:trPr/>
        <w:tc>
          <w:tcPr>
            <w:tcW w:w="1124"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464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both"/>
        <w:rPr>
          <w:rFonts w:ascii="Times New Roman;serif" w:hAnsi="Times New Roman;serif"/>
          <w:b w:val="false"/>
          <w:i/>
          <w:color w:val="000000"/>
          <w:sz w:val="16"/>
        </w:rPr>
      </w:pPr>
      <w:r>
        <w:rPr>
          <w:rFonts w:ascii="Times New Roman;serif" w:hAnsi="Times New Roman;serif"/>
          <w:b w:val="false"/>
          <w:i/>
          <w:color w:val="000000"/>
          <w:sz w:val="16"/>
        </w:rPr>
        <w:t xml:space="preserve">(1) The trading arrangement permitted transactions through and including the earlier to occur of (a) the date that all shares subject to the trading arrangement have been sold and (b) the date listed in the table. However, this trading arrangement was subsequently terminated on June 23, 2026 prior to the sale of any shares. </w:t>
      </w:r>
    </w:p>
    <w:p>
      <w:pPr>
        <w:pStyle w:val="TextBody"/>
        <w:bidi w:val="0"/>
        <w:spacing w:before="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609bb953f26a4cd58095f8c6d091a7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817"/>
        <w:gridCol w:w="2620"/>
        <w:gridCol w:w="3735"/>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7" w:type="dxa"/>
            <w:tcBorders/>
            <w:vAlign w:val="center"/>
          </w:tcPr>
          <w:p>
            <w:pPr>
              <w:pStyle w:val="TableContents"/>
              <w:bidi w:val="0"/>
              <w:spacing w:before="0" w:after="283"/>
              <w:jc w:val="left"/>
              <w:rPr>
                <w:sz w:val="4"/>
                <w:szCs w:val="4"/>
              </w:rPr>
            </w:pPr>
            <w:r>
              <w:rPr>
                <w:sz w:val="4"/>
                <w:szCs w:val="4"/>
              </w:rPr>
            </w:r>
          </w:p>
        </w:tc>
        <w:tc>
          <w:tcPr>
            <w:tcW w:w="2620" w:type="dxa"/>
            <w:tcBorders/>
            <w:vAlign w:val="center"/>
          </w:tcPr>
          <w:p>
            <w:pPr>
              <w:pStyle w:val="TableContents"/>
              <w:bidi w:val="0"/>
              <w:spacing w:before="0" w:after="283"/>
              <w:jc w:val="left"/>
              <w:rPr>
                <w:sz w:val="4"/>
                <w:szCs w:val="4"/>
              </w:rPr>
            </w:pPr>
            <w:r>
              <w:rPr>
                <w:sz w:val="4"/>
                <w:szCs w:val="4"/>
              </w:rPr>
            </w:r>
          </w:p>
        </w:tc>
        <w:tc>
          <w:tcPr>
            <w:tcW w:w="373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Description of Document</w:t>
            </w:r>
          </w:p>
        </w:tc>
      </w:tr>
      <w:tr>
        <w:trPr/>
        <w:tc>
          <w:tcPr>
            <w:tcW w:w="7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6" w:before="0" w:after="0"/>
              <w:jc w:val="left"/>
              <w:rPr/>
            </w:pPr>
            <w:hyperlink r:id="rId2">
              <w:r>
                <w:rPr>
                  <w:rStyle w:val="InternetLink"/>
                  <w:rFonts w:ascii="Times New Roman;serif" w:hAnsi="Times New Roman;serif"/>
                  <w:b w:val="false"/>
                  <w:color w:val="0000EE"/>
                  <w:sz w:val="18"/>
                  <w:u w:val="single"/>
                </w:rPr>
                <w:t>Amended and Restated Certificate of Incorporation of the Company (incorporated by reference to Exhibit 3.1 to the Company’s Current Report on Form 8-K, filed with the SEC on December 11, 2013).</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3">
              <w:r>
                <w:rPr>
                  <w:rStyle w:val="InternetLink"/>
                  <w:rFonts w:ascii="Times New Roman;serif" w:hAnsi="Times New Roman;serif"/>
                  <w:b w:val="false"/>
                  <w:color w:val="0000EE"/>
                  <w:sz w:val="18"/>
                  <w:u w:val="single"/>
                </w:rPr>
                <w:t>Amended and Restated Bylaws of the Company (incorporated by reference to Exhibit 3.2 to the Company’s Annual Report on Form 10-K, filed with the SEC on February 27, 2023).</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4">
              <w:r>
                <w:rPr>
                  <w:rStyle w:val="InternetLink"/>
                  <w:rFonts w:ascii="Times New Roman;serif" w:hAnsi="Times New Roman;serif"/>
                  <w:b w:val="false"/>
                  <w:color w:val="0000EE"/>
                  <w:sz w:val="18"/>
                  <w:u w:val="single"/>
                </w:rPr>
                <w:t>Form of Common Stock Certificate of the Company (incorporated by reference to Exhibit 4.1 to the Company’s Registration Statement on Form S-1, as amended (File No. 333-191689), originally filed with the SEC on October 25, 2013).</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5">
              <w:r>
                <w:rPr>
                  <w:rStyle w:val="InternetLink"/>
                  <w:rFonts w:ascii="Times New Roman;serif" w:hAnsi="Times New Roman;serif"/>
                  <w:b w:val="false"/>
                  <w:color w:val="0000FF"/>
                  <w:sz w:val="18"/>
                  <w:u w:val="single"/>
                </w:rPr>
                <w:t>Form of Pre-Funded Warrant to Purchase Common Stock (incorporated by reference to Exhibit 4.1 to the Company's Current Report on Form 8-K, filed with the SEC on September 12, 2024).</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6">
              <w:r>
                <w:rPr>
                  <w:rStyle w:val="InternetLink"/>
                  <w:rFonts w:ascii="Times New Roman;serif" w:hAnsi="Times New Roman;serif"/>
                  <w:b w:val="false"/>
                  <w:color w:val="0000FF"/>
                  <w:sz w:val="18"/>
                  <w:u w:val="single"/>
                </w:rPr>
                <w:t>Executive Severance Policy, dated April 23, 2026 (incorporated by reference to Exhibit 10.1 to the Company’s Current Report on Form 8-K, filed with the SEC on April 27, 2026).</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xncr-20260630xexx311.htm">
              <w:r>
                <w:rPr>
                  <w:rStyle w:val="InternetLink"/>
                  <w:rFonts w:ascii="Times New Roman;serif" w:hAnsi="Times New Roman;serif"/>
                  <w:b w:val="false"/>
                  <w:color w:val="0000EE"/>
                  <w:sz w:val="18"/>
                  <w:u w:val="single"/>
                </w:rPr>
                <w:t>Rule 13a-14(a) Certification of Principal Executive Officer</w:t>
              </w:r>
            </w:hyperlink>
            <w:r>
              <w:rPr>
                <w:rFonts w:ascii="Times New Roman;serif" w:hAnsi="Times New Roman;serif"/>
                <w:b w:val="false"/>
                <w:color w:val="0000EE"/>
                <w:sz w:val="18"/>
              </w:rPr>
              <w:t>.</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xncr-20260630xexx312.htm">
              <w:r>
                <w:rPr>
                  <w:rStyle w:val="InternetLink"/>
                  <w:rFonts w:ascii="Times New Roman;serif" w:hAnsi="Times New Roman;serif"/>
                  <w:b w:val="false"/>
                  <w:color w:val="0000EE"/>
                  <w:sz w:val="18"/>
                  <w:u w:val="single"/>
                </w:rPr>
                <w:t>Rule 13a-14(a) Certification of Principal Financial Officer</w:t>
              </w:r>
            </w:hyperlink>
            <w:r>
              <w:rPr>
                <w:rFonts w:ascii="Times New Roman;serif" w:hAnsi="Times New Roman;serif"/>
                <w:b w:val="false"/>
                <w:color w:val="0000EE"/>
                <w:sz w:val="18"/>
              </w:rPr>
              <w:t>.</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xncr-20260630xexx321.htm">
              <w:r>
                <w:rPr>
                  <w:rStyle w:val="InternetLink"/>
                  <w:rFonts w:ascii="Times New Roman;serif" w:hAnsi="Times New Roman;serif"/>
                  <w:b w:val="false"/>
                  <w:color w:val="0000EE"/>
                  <w:sz w:val="18"/>
                  <w:u w:val="single"/>
                </w:rPr>
                <w:t>Section 1350 Certification of Principal Executive Officer and Principal Financial Officer</w:t>
              </w:r>
            </w:hyperlink>
            <w:r>
              <w:rPr>
                <w:rFonts w:ascii="Times New Roman;serif" w:hAnsi="Times New Roman;serif"/>
                <w:b w:val="false"/>
                <w:color w:val="0000EE"/>
                <w:sz w:val="18"/>
              </w:rPr>
              <w:t>.</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financial statements from the Company’s 10-Q for the fiscal quarter ended June 30, 2026, formatted in iXBRL: (i) Consolidated Balance Sheets, (ii) Consolidated Statements of Operations and Comprehensive Loss, (iii) Consolidated Statements of Stockholders’ Equity, (iv) Consolidated Statements of Cash Flows, (v) Notes to Consolidated Financial Statements</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 and contained in Exhibit 101)</w:t>
            </w:r>
          </w:p>
        </w:tc>
      </w:tr>
    </w:tbl>
    <w:p>
      <w:pPr>
        <w:pStyle w:val="TextBody"/>
        <w:bidi w:val="0"/>
        <w:spacing w:lineRule="auto" w:line="288" w:before="120" w:after="283"/>
        <w:jc w:val="both"/>
        <w:rPr>
          <w:color w:val="000000"/>
        </w:rPr>
      </w:pPr>
      <w:r>
        <w:rPr>
          <w:color w:val="000000"/>
        </w:rPr>
        <w:t>———————</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*Filed herewith.</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**Furnished herewith.</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609bb953f26a4cd58095f8c6d091a7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u w:val="single"/>
        </w:rPr>
      </w:pPr>
      <w:r>
        <w:rPr>
          <w:rFonts w:ascii="Times New Roman;serif" w:hAnsi="Times New Roman;serif"/>
          <w:b/>
          <w:color w:val="000000"/>
          <w:sz w:val="20"/>
          <w:u w:val="single"/>
        </w:rPr>
        <w:t>SIGNATURES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as amended, the registrant has duly caused this report to be signed on its behalf by the undersigned thereunto duly authorized. </w:t>
      </w:r>
    </w:p>
    <w:tbl>
      <w:tblPr>
        <w:tblW w:w="5815" w:type="dxa"/>
        <w:jc w:val="left"/>
        <w:tblInd w:w="0" w:type="dxa"/>
        <w:tblLayout w:type="fixed"/>
        <w:tblCellMar>
          <w:top w:w="28" w:type="dxa"/>
          <w:left w:w="28" w:type="dxa"/>
          <w:bottom w:w="28" w:type="dxa"/>
          <w:right w:w="28" w:type="dxa"/>
        </w:tblCellMar>
      </w:tblPr>
      <w:tblGrid>
        <w:gridCol w:w="705"/>
        <w:gridCol w:w="619"/>
        <w:gridCol w:w="625"/>
        <w:gridCol w:w="219"/>
        <w:gridCol w:w="219"/>
        <w:gridCol w:w="219"/>
        <w:gridCol w:w="931"/>
        <w:gridCol w:w="931"/>
        <w:gridCol w:w="1347"/>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XENCOR, INC.</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5, 2026</w:t>
            </w:r>
          </w:p>
        </w:tc>
        <w:tc>
          <w:tcPr>
            <w:tcW w:w="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BASSIL I. DAHIYAT</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Bassil I. Dahiyat, Ph.D.</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5, 2026</w:t>
            </w:r>
          </w:p>
        </w:tc>
        <w:tc>
          <w:tcPr>
            <w:tcW w:w="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BART JAN CORNELISSEN</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Bart Jan Cornelissen</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pPr>
      <w:r>
        <w:rPr>
          <w:rFonts w:ascii="Times New Roman;serif" w:hAnsi="Times New Roman;serif"/>
          <w:b/>
          <w:color w:val="000000"/>
          <w:sz w:val="20"/>
        </w:rPr>
        <w:t>CERTIFICATION OF THE PRINCIPAL EXECUTIVE OFFICER PURSUANT TO SECTION 302 OF THE</w:t>
      </w:r>
      <w:r>
        <w:rPr>
          <w:color w:val="000000"/>
        </w:rPr>
        <w:t xml:space="preserve"> </w:t>
      </w:r>
      <w:r>
        <w:rPr>
          <w:rFonts w:ascii="Times New Roman;serif" w:hAnsi="Times New Roman;serif"/>
          <w:b/>
          <w:color w:val="000000"/>
          <w:sz w:val="20"/>
        </w:rPr>
        <w:t>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Bassil I. Dahiyat, Ph.D.,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Xencor, Inc.;</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919" w:type="dxa"/>
        <w:jc w:val="left"/>
        <w:tblInd w:w="0" w:type="dxa"/>
        <w:tblLayout w:type="fixed"/>
        <w:tblCellMar>
          <w:top w:w="28" w:type="dxa"/>
          <w:left w:w="28" w:type="dxa"/>
          <w:bottom w:w="28" w:type="dxa"/>
          <w:right w:w="28" w:type="dxa"/>
        </w:tblCellMar>
      </w:tblPr>
      <w:tblGrid>
        <w:gridCol w:w="667"/>
        <w:gridCol w:w="587"/>
        <w:gridCol w:w="590"/>
        <w:gridCol w:w="899"/>
        <w:gridCol w:w="899"/>
        <w:gridCol w:w="1277"/>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BASSIL I. DAHIYAT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Bassil I. Dahiyat, Ph.D.</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&amp; 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184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THE PRINCIPAL FINANCIAL OFFICER 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Bart Jan Cornelissen,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Xencor, Inc.;</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499" w:type="dxa"/>
        <w:jc w:val="left"/>
        <w:tblInd w:w="0" w:type="dxa"/>
        <w:tblLayout w:type="fixed"/>
        <w:tblCellMar>
          <w:top w:w="28" w:type="dxa"/>
          <w:left w:w="28" w:type="dxa"/>
          <w:bottom w:w="28" w:type="dxa"/>
          <w:right w:w="28" w:type="dxa"/>
        </w:tblCellMar>
      </w:tblPr>
      <w:tblGrid>
        <w:gridCol w:w="667"/>
        <w:gridCol w:w="587"/>
        <w:gridCol w:w="590"/>
        <w:gridCol w:w="777"/>
        <w:gridCol w:w="777"/>
        <w:gridCol w:w="1101"/>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 BART JAN CORNELISSEN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Bart Jan Cornelissen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(Subsections (a) and (b) of Section 1350, Chapter 63 of Title 18, United States Code)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Xencor, Inc. (the “Company”) for the period ended June 30, 2026, as filed with the Securities and Exchange Commission on the date hereof (the “Report”), Bassil I. Dahiyat, President &amp; Chief Executive Officer of Xencor, Inc. (the “Company”), and Bart Jan Cornelissen, Chief Financial Officer of the Company, each hereby certifies that, to the best of their knowledge:</w:t>
      </w:r>
    </w:p>
    <w:p>
      <w:pPr>
        <w:pStyle w:val="TextBody"/>
        <w:bidi w:val="0"/>
        <w:spacing w:lineRule="auto" w:line="288" w:before="240" w:after="283"/>
        <w:ind w:left="0" w:right="0" w:hanging="720"/>
        <w:jc w:val="left"/>
        <w:rPr/>
      </w:pPr>
      <w:r>
        <w:rPr>
          <w:rFonts w:ascii="Times New Roman;serif" w:hAnsi="Times New Roman;serif"/>
          <w:b/>
          <w:color w:val="000000"/>
          <w:sz w:val="20"/>
        </w:rPr>
        <w:t>1.</w:t>
      </w:r>
      <w:r>
        <w:rPr>
          <w:rFonts w:ascii="Times New Roman;serif" w:hAnsi="Times New Roman;serif"/>
          <w:b w:val="false"/>
          <w:color w:val="000000"/>
          <w:sz w:val="20"/>
        </w:rPr>
        <w:t>The Report fully complies with the requirements of Section 13(a) or Section 15(d) of the Exchange Act; and</w:t>
      </w:r>
    </w:p>
    <w:p>
      <w:pPr>
        <w:pStyle w:val="TextBody"/>
        <w:bidi w:val="0"/>
        <w:spacing w:lineRule="auto" w:line="288" w:before="240" w:after="283"/>
        <w:ind w:left="0" w:right="0" w:hanging="720"/>
        <w:jc w:val="left"/>
        <w:rPr/>
      </w:pPr>
      <w:r>
        <w:rPr>
          <w:rFonts w:ascii="Times New Roman;serif" w:hAnsi="Times New Roman;serif"/>
          <w:b/>
          <w:color w:val="000000"/>
          <w:sz w:val="20"/>
        </w:rPr>
        <w:t>2.</w:t>
      </w:r>
      <w:r>
        <w:rPr>
          <w:rFonts w:ascii="Times New Roman;serif" w:hAnsi="Times New Roman;serif"/>
          <w:b w:val="false"/>
          <w:color w:val="000000"/>
          <w:sz w:val="20"/>
        </w:rPr>
        <w:t>The information contained in the Report fairly presents, in all material respects, the financial condition and results of operations of the Company.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Dated: August 5, 2026</w:t>
      </w:r>
    </w:p>
    <w:tbl>
      <w:tblPr>
        <w:tblW w:w="6011" w:type="dxa"/>
        <w:jc w:val="left"/>
        <w:tblInd w:w="0" w:type="dxa"/>
        <w:tblLayout w:type="fixed"/>
        <w:tblCellMar>
          <w:top w:w="28" w:type="dxa"/>
          <w:left w:w="28" w:type="dxa"/>
          <w:bottom w:w="28" w:type="dxa"/>
          <w:right w:w="28" w:type="dxa"/>
        </w:tblCellMar>
      </w:tblPr>
      <w:tblGrid>
        <w:gridCol w:w="1096"/>
        <w:gridCol w:w="964"/>
        <w:gridCol w:w="969"/>
        <w:gridCol w:w="109"/>
        <w:gridCol w:w="109"/>
        <w:gridCol w:w="109"/>
        <w:gridCol w:w="777"/>
        <w:gridCol w:w="777"/>
        <w:gridCol w:w="1101"/>
      </w:tblGrid>
      <w:tr>
        <w:trPr/>
        <w:tc>
          <w:tcPr>
            <w:tcW w:w="109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 BASSIL I. DAHIYAT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 BART JAN CORNELISSEN</w:t>
            </w:r>
          </w:p>
        </w:tc>
      </w:tr>
      <w:tr>
        <w:trPr/>
        <w:tc>
          <w:tcPr>
            <w:tcW w:w="30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Bassil I. Dahiyat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Bart Jan Cornelissen</w:t>
            </w:r>
          </w:p>
        </w:tc>
      </w:tr>
      <w:tr>
        <w:trPr/>
        <w:tc>
          <w:tcPr>
            <w:tcW w:w="302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&amp;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02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This certification accompanies the Periodic Report to which it relates, is not deemed filed with the Securities and Exchange Commission and is not to be incorporated by reference into any filing of Xencor, Inc. under the Securities Act of 1933, as amended, or the Securities Exchange Act of 1934, as amended (whether made before or after the date of the Form 10-Q), irrespective of any general incorporation language contained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26732/000110465913089659/a13-26060_1ex3d1.htm" TargetMode="External"/><Relationship Id="rId3" Type="http://schemas.openxmlformats.org/officeDocument/2006/relationships/hyperlink" Target="https://www.sec.gov/Archives/edgar/data/1326732/000162828023005127/xncr-20221231xexx32.htm" TargetMode="External"/><Relationship Id="rId4" Type="http://schemas.openxmlformats.org/officeDocument/2006/relationships/hyperlink" Target="https://www.sec.gov/Archives/edgar/data/1326732/000104746913009956/a2217011zex-4_1.htm" TargetMode="External"/><Relationship Id="rId5" Type="http://schemas.openxmlformats.org/officeDocument/2006/relationships/hyperlink" Target="https://www.sec.gov/ix?doc=/Archives/edgar/data/1326732/000121390024077934/ea0214325-8k_xencor.htm" TargetMode="External"/><Relationship Id="rId6" Type="http://schemas.openxmlformats.org/officeDocument/2006/relationships/hyperlink" Target="https://www.sec.gov/Archives/edgar/data/1326732/000132673226000030/xncr-20260427xexx10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17349</Words>
  <Characters>97391</Characters>
  <CharactersWithSpaces>113390</CharactersWithSpaces>
  <Paragraphs>2378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