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00" w:after="283"/>
        <w:jc w:val="center"/>
        <w:rPr/>
      </w:pPr>
      <w:r>
        <w:rPr>
          <w:rFonts w:ascii="Times New Roman;serif" w:hAnsi="Times New Roman;serif"/>
          <w:b w:val="false"/>
          <w:color w:val="000000"/>
          <w:sz w:val="20"/>
        </w:rPr>
        <w:t>Date of Report (Date of earliest event reported):</w:t>
      </w:r>
      <w:r>
        <w:rPr>
          <w:color w:val="000000"/>
        </w:rPr>
        <w:t>  </w:t>
      </w:r>
      <w:r>
        <w:rPr>
          <w:rFonts w:ascii="Times New Roman;serif" w:hAnsi="Times New Roman;serif"/>
          <w:b/>
          <w:color w:val="000000"/>
          <w:sz w:val="20"/>
        </w:rPr>
        <w:t>June 16,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XENCOR,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tbl>
      <w:tblPr>
        <w:tblW w:w="5037" w:type="dxa"/>
        <w:jc w:val="center"/>
        <w:tblInd w:w="0" w:type="dxa"/>
        <w:tblLayout w:type="fixed"/>
        <w:tblCellMar>
          <w:top w:w="28" w:type="dxa"/>
          <w:left w:w="28" w:type="dxa"/>
          <w:bottom w:w="28" w:type="dxa"/>
          <w:right w:w="28" w:type="dxa"/>
        </w:tblCellMar>
      </w:tblPr>
      <w:tblGrid>
        <w:gridCol w:w="803"/>
        <w:gridCol w:w="704"/>
        <w:gridCol w:w="712"/>
        <w:gridCol w:w="353"/>
        <w:gridCol w:w="353"/>
        <w:gridCol w:w="358"/>
        <w:gridCol w:w="512"/>
        <w:gridCol w:w="512"/>
        <w:gridCol w:w="730"/>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001-36182</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20-1622502</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(Commission </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Number)</w:t>
            </w:r>
          </w:p>
        </w:tc>
      </w:tr>
    </w:tbl>
    <w:tbl>
      <w:tblPr>
        <w:tblW w:w="4467" w:type="dxa"/>
        <w:jc w:val="left"/>
        <w:tblInd w:w="0" w:type="dxa"/>
        <w:tblLayout w:type="fixed"/>
        <w:tblCellMar>
          <w:top w:w="28" w:type="dxa"/>
          <w:left w:w="28" w:type="dxa"/>
          <w:bottom w:w="28" w:type="dxa"/>
          <w:right w:w="28" w:type="dxa"/>
        </w:tblCellMar>
      </w:tblPr>
      <w:tblGrid>
        <w:gridCol w:w="1169"/>
        <w:gridCol w:w="1027"/>
        <w:gridCol w:w="1029"/>
        <w:gridCol w:w="109"/>
        <w:gridCol w:w="109"/>
        <w:gridCol w:w="109"/>
        <w:gridCol w:w="268"/>
        <w:gridCol w:w="268"/>
        <w:gridCol w:w="379"/>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465 North Halstead Street, Suite 200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Pasadena,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91107</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(626) 305-5900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37" w:type="dxa"/>
        <w:jc w:val="left"/>
        <w:tblInd w:w="0" w:type="dxa"/>
        <w:tblLayout w:type="fixed"/>
        <w:tblCellMar>
          <w:top w:w="28" w:type="dxa"/>
          <w:left w:w="28" w:type="dxa"/>
          <w:bottom w:w="28" w:type="dxa"/>
          <w:right w:w="28" w:type="dxa"/>
        </w:tblCellMar>
      </w:tblPr>
      <w:tblGrid>
        <w:gridCol w:w="1124"/>
        <w:gridCol w:w="987"/>
        <w:gridCol w:w="993"/>
        <w:gridCol w:w="519"/>
        <w:gridCol w:w="519"/>
        <w:gridCol w:w="521"/>
        <w:gridCol w:w="1074"/>
        <w:gridCol w:w="1074"/>
        <w:gridCol w:w="1526"/>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XNCR</w:t>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center"/>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16, 2026, Xencor, Inc. (the “Company”) held its 2026 Annual Meeting of Stockholders. A total of 63,939,410 shares of the Company’s common stock were present or represented by proxy at the meeting, which represents approximately 86.26% of the 74,127,372 shares of the Company’s common stock that were outstanding and entitled to vote at the meeting as of the record date of April 17, 2026. Stockholders considered the four proposals outlined below, each of which is described in more detail in the Company’s definitive proxy statement filed with the Securities and Exchange Commission on April 27, 2026 (the “Proxy Statement”).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Proposal 1. Election of Directors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stockholders elected the nine persons listed below as directors, each to serve until the 2027 Annual Meeting of Stockholders and until their successors are duly elected and qualified. The final voting results are as follows:</w:t>
      </w:r>
    </w:p>
    <w:tbl>
      <w:tblPr>
        <w:tblW w:w="6189" w:type="dxa"/>
        <w:jc w:val="left"/>
        <w:tblInd w:w="0" w:type="dxa"/>
        <w:tblLayout w:type="fixed"/>
        <w:tblCellMar>
          <w:top w:w="28" w:type="dxa"/>
          <w:left w:w="28" w:type="dxa"/>
          <w:bottom w:w="28" w:type="dxa"/>
          <w:right w:w="28" w:type="dxa"/>
        </w:tblCellMar>
      </w:tblPr>
      <w:tblGrid>
        <w:gridCol w:w="803"/>
        <w:gridCol w:w="707"/>
        <w:gridCol w:w="710"/>
        <w:gridCol w:w="109"/>
        <w:gridCol w:w="109"/>
        <w:gridCol w:w="109"/>
        <w:gridCol w:w="344"/>
        <w:gridCol w:w="344"/>
        <w:gridCol w:w="348"/>
        <w:gridCol w:w="109"/>
        <w:gridCol w:w="109"/>
        <w:gridCol w:w="109"/>
        <w:gridCol w:w="308"/>
        <w:gridCol w:w="308"/>
        <w:gridCol w:w="315"/>
        <w:gridCol w:w="109"/>
        <w:gridCol w:w="109"/>
        <w:gridCol w:w="109"/>
        <w:gridCol w:w="298"/>
        <w:gridCol w:w="298"/>
        <w:gridCol w:w="425"/>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Non-Votes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Bassil I. Dahiyat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63,181,996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512,018</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Raymond J. Deshaies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62,317,285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1,110,107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512,018</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Ellen G. Feigal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61,161,533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2,265,857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512,020</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Kevin C. Gorman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61,845,285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1,582,105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512,020</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Kurt A. Gustafson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61,858,936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1,568,455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512,019</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Barbara Klencke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61,134,391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2,293,001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512,018</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A. Bruce Montgomery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61,698,071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1,729,320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512,019</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Richard J. Ranieri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60,377,318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3,050,073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512,019</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Todd E. Simpson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62,010,884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1,416,507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512,019</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Proposal 2. Ratification of the Selection of Independent Registered Public Accounting Firm</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stockholders ratified the selection by the Audit Committee of the Board of Directors of KPMG LLP as its independent registered public accounting firm for the fiscal year ending December 31, 2026. The final voting results are as follows:</w:t>
      </w:r>
    </w:p>
    <w:tbl>
      <w:tblPr>
        <w:tblW w:w="5393"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298"/>
        <w:gridCol w:w="298"/>
        <w:gridCol w:w="425"/>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Non-Votes</w:t>
            </w:r>
          </w:p>
        </w:tc>
      </w:tr>
      <w:tr>
        <w:trPr/>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63,803,517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Proposal 3. Approval of the Amendment and Restatement of the Xencor, Inc. 2023 Equity Incentive Plan to Increase the Number of Authorized Shares Available for Issuance thereunder by 4,000,000 Shares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stockholders approved the amendment and restatement of the Xencor, Inc. 2023 Equity Incentive Plan to increase the number of authorized shares reserved for issuance thereunder by 4,000,000 shares. The final voting results are as follows:</w:t>
      </w:r>
    </w:p>
    <w:tbl>
      <w:tblPr>
        <w:tblW w:w="5393"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298"/>
        <w:gridCol w:w="298"/>
        <w:gridCol w:w="425"/>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Non-Votes</w:t>
            </w:r>
          </w:p>
        </w:tc>
      </w:tr>
      <w:tr>
        <w:trPr/>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51,996,737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11,413,881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512,019</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Proposal 4. Advisory Vote on the Compensation of the Company’s Named Executive Officers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stockholders approved, on an advisory (non-binding) basis, the compensation of its named executive officers as disclosed in the Proxy Statement. The final voting results are as follows:</w:t>
      </w:r>
    </w:p>
    <w:tbl>
      <w:tblPr>
        <w:tblW w:w="5393"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298"/>
        <w:gridCol w:w="298"/>
        <w:gridCol w:w="425"/>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Non-Votes</w:t>
            </w:r>
          </w:p>
        </w:tc>
      </w:tr>
      <w:tr>
        <w:trPr/>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61,262,574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2,144,049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512,019</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66" w:type="dxa"/>
        <w:jc w:val="left"/>
        <w:tblInd w:w="0" w:type="dxa"/>
        <w:tblLayout w:type="fixed"/>
        <w:tblCellMar>
          <w:top w:w="28" w:type="dxa"/>
          <w:left w:w="28" w:type="dxa"/>
          <w:bottom w:w="28" w:type="dxa"/>
          <w:right w:w="28" w:type="dxa"/>
        </w:tblCellMar>
      </w:tblPr>
      <w:tblGrid>
        <w:gridCol w:w="629"/>
        <w:gridCol w:w="554"/>
        <w:gridCol w:w="557"/>
        <w:gridCol w:w="227"/>
        <w:gridCol w:w="227"/>
        <w:gridCol w:w="227"/>
        <w:gridCol w:w="979"/>
        <w:gridCol w:w="979"/>
        <w:gridCol w:w="138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June 18, 2026</w:t>
            </w:r>
          </w:p>
        </w:tc>
        <w:tc>
          <w:tcPr>
            <w:tcW w:w="4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XENCOR,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Celia Eckert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Celia Eckert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&amp;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769</Words>
  <Characters>4567</Characters>
  <CharactersWithSpaces>5208</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